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4BB91" w14:textId="77777777" w:rsidR="003A2CD6" w:rsidRPr="003A2CD6" w:rsidRDefault="003A2CD6" w:rsidP="003A2CD6">
      <w:pPr>
        <w:ind w:left="-709"/>
        <w:rPr>
          <w:lang w:val="es-ES"/>
        </w:rPr>
      </w:pPr>
    </w:p>
    <w:p w14:paraId="27FC5BE0" w14:textId="08254601" w:rsidR="00350B1F" w:rsidRDefault="00350B1F" w:rsidP="000C38C6">
      <w:pPr>
        <w:rPr>
          <w:lang w:val="es-ES"/>
        </w:rPr>
      </w:pPr>
    </w:p>
    <w:p w14:paraId="1BC53131" w14:textId="77777777" w:rsidR="00FC1C63" w:rsidRDefault="00FC1C63" w:rsidP="000C38C6">
      <w:pPr>
        <w:rPr>
          <w:lang w:val="es-ES"/>
        </w:rPr>
      </w:pPr>
    </w:p>
    <w:p w14:paraId="35BA750F" w14:textId="77777777" w:rsidR="00FC1C63" w:rsidRDefault="00FC1C63" w:rsidP="000C38C6">
      <w:pPr>
        <w:rPr>
          <w:lang w:val="es-ES"/>
        </w:rPr>
      </w:pPr>
    </w:p>
    <w:p w14:paraId="0EF1E182" w14:textId="77777777" w:rsidR="00FE333F" w:rsidRDefault="00333EC7" w:rsidP="00333EC7">
      <w:pPr>
        <w:ind w:left="-709"/>
        <w:rPr>
          <w:rFonts w:ascii="Calibri" w:hAnsi="Calibri"/>
          <w:b/>
          <w:bCs/>
          <w:color w:val="2382A8"/>
          <w:sz w:val="36"/>
        </w:rPr>
      </w:pPr>
      <w:r w:rsidRPr="00B223C6">
        <w:rPr>
          <w:rFonts w:ascii="Calibri" w:hAnsi="Calibri"/>
          <w:b/>
          <w:bCs/>
          <w:color w:val="2382A8"/>
          <w:sz w:val="36"/>
        </w:rPr>
        <w:t>ANEXO 1</w:t>
      </w:r>
      <w:r w:rsidR="00B223C6" w:rsidRPr="00B223C6">
        <w:rPr>
          <w:rFonts w:ascii="Calibri" w:hAnsi="Calibri"/>
          <w:b/>
          <w:bCs/>
          <w:color w:val="2382A8"/>
          <w:sz w:val="36"/>
        </w:rPr>
        <w:t xml:space="preserve">. </w:t>
      </w:r>
      <w:r w:rsidR="00E67C36" w:rsidRPr="00E67C36">
        <w:rPr>
          <w:rFonts w:ascii="Calibri" w:hAnsi="Calibri"/>
          <w:b/>
          <w:bCs/>
          <w:color w:val="2382A8"/>
          <w:sz w:val="36"/>
        </w:rPr>
        <w:t xml:space="preserve">IDEAS CLAVES PARA EL MONITOREO DE LA </w:t>
      </w:r>
    </w:p>
    <w:p w14:paraId="5E395E15" w14:textId="7064EFBF" w:rsidR="00333EC7" w:rsidRDefault="00E67C36" w:rsidP="00FE333F">
      <w:pPr>
        <w:ind w:left="794"/>
        <w:rPr>
          <w:rFonts w:ascii="Calibri" w:hAnsi="Calibri"/>
          <w:b/>
          <w:bCs/>
          <w:color w:val="2382A8"/>
          <w:sz w:val="22"/>
        </w:rPr>
      </w:pPr>
      <w:r w:rsidRPr="00E67C36">
        <w:rPr>
          <w:rFonts w:ascii="Calibri" w:hAnsi="Calibri"/>
          <w:b/>
          <w:bCs/>
          <w:color w:val="2382A8"/>
          <w:sz w:val="36"/>
        </w:rPr>
        <w:t>IMPLEMENTACIÓN CURRICULAR</w:t>
      </w:r>
    </w:p>
    <w:p w14:paraId="14C53FC9" w14:textId="77777777" w:rsidR="00FC1C63" w:rsidRDefault="00FC1C63" w:rsidP="00333EC7">
      <w:pPr>
        <w:ind w:left="-709"/>
        <w:rPr>
          <w:rFonts w:ascii="Calibri" w:hAnsi="Calibri"/>
          <w:b/>
          <w:bCs/>
          <w:color w:val="2382A8"/>
          <w:sz w:val="22"/>
        </w:rPr>
      </w:pPr>
    </w:p>
    <w:p w14:paraId="6E2CC6F3" w14:textId="77777777" w:rsidR="00FC1C63" w:rsidRDefault="00FC1C63" w:rsidP="00333EC7">
      <w:pPr>
        <w:ind w:left="-709"/>
        <w:rPr>
          <w:rFonts w:ascii="Calibri" w:hAnsi="Calibri"/>
          <w:b/>
          <w:bCs/>
          <w:color w:val="2382A8"/>
          <w:sz w:val="22"/>
        </w:rPr>
      </w:pPr>
    </w:p>
    <w:p w14:paraId="46D95CAD" w14:textId="77777777" w:rsidR="00FC1C63" w:rsidRDefault="00FC1C63" w:rsidP="00333EC7">
      <w:pPr>
        <w:ind w:left="-709"/>
        <w:rPr>
          <w:rFonts w:ascii="Calibri" w:hAnsi="Calibri"/>
          <w:b/>
          <w:bCs/>
          <w:color w:val="2382A8"/>
          <w:sz w:val="22"/>
        </w:rPr>
      </w:pPr>
    </w:p>
    <w:p w14:paraId="29004D5B" w14:textId="0913A63C" w:rsidR="009E16DB" w:rsidRPr="009E16DB" w:rsidRDefault="009E16DB" w:rsidP="00333EC7">
      <w:pPr>
        <w:ind w:left="-709"/>
        <w:rPr>
          <w:rFonts w:ascii="Calibri" w:hAnsi="Calibri"/>
          <w:b/>
          <w:bCs/>
          <w:color w:val="2382A8"/>
          <w:sz w:val="22"/>
        </w:rPr>
      </w:pPr>
      <w:r w:rsidRPr="009E16DB">
        <w:rPr>
          <w:rFonts w:ascii="Calibri" w:hAnsi="Calibri"/>
          <w:b/>
          <w:bCs/>
          <w:noProof/>
          <w:color w:val="404040" w:themeColor="text1" w:themeTint="BF"/>
          <w:lang w:val="es-CL" w:eastAsia="es-CL"/>
        </w:rPr>
        <w:drawing>
          <wp:anchor distT="0" distB="0" distL="114300" distR="114300" simplePos="0" relativeHeight="251664384" behindDoc="1" locked="0" layoutInCell="1" allowOverlap="1" wp14:anchorId="1ACEE283" wp14:editId="77FE58FF">
            <wp:simplePos x="0" y="0"/>
            <wp:positionH relativeFrom="column">
              <wp:posOffset>-446405</wp:posOffset>
            </wp:positionH>
            <wp:positionV relativeFrom="paragraph">
              <wp:posOffset>189821</wp:posOffset>
            </wp:positionV>
            <wp:extent cx="6085205" cy="182245"/>
            <wp:effectExtent l="0" t="0" r="1079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085205" cy="182245"/>
                    </a:xfrm>
                    <a:prstGeom prst="rect">
                      <a:avLst/>
                    </a:prstGeom>
                  </pic:spPr>
                </pic:pic>
              </a:graphicData>
            </a:graphic>
            <wp14:sizeRelH relativeFrom="page">
              <wp14:pctWidth>0</wp14:pctWidth>
            </wp14:sizeRelH>
            <wp14:sizeRelV relativeFrom="page">
              <wp14:pctHeight>0</wp14:pctHeight>
            </wp14:sizeRelV>
          </wp:anchor>
        </w:drawing>
      </w:r>
    </w:p>
    <w:p w14:paraId="610089A2" w14:textId="7220651E" w:rsidR="00E67C36" w:rsidRPr="009E16DB" w:rsidRDefault="008502FB" w:rsidP="009E16DB">
      <w:pPr>
        <w:ind w:left="-709"/>
        <w:rPr>
          <w:rFonts w:ascii="Calibri" w:hAnsi="Calibri"/>
          <w:b/>
          <w:bCs/>
          <w:color w:val="404040" w:themeColor="text1" w:themeTint="BF"/>
        </w:rPr>
      </w:pPr>
      <w:r>
        <w:rPr>
          <w:noProof/>
          <w:lang w:val="es-CL" w:eastAsia="es-CL"/>
        </w:rPr>
        <w:drawing>
          <wp:anchor distT="0" distB="0" distL="114300" distR="114300" simplePos="0" relativeHeight="251689984" behindDoc="0" locked="0" layoutInCell="1" allowOverlap="1" wp14:anchorId="7270402C" wp14:editId="67A58574">
            <wp:simplePos x="0" y="0"/>
            <wp:positionH relativeFrom="margin">
              <wp:align>right</wp:align>
            </wp:positionH>
            <wp:positionV relativeFrom="paragraph">
              <wp:posOffset>3743960</wp:posOffset>
            </wp:positionV>
            <wp:extent cx="5621655" cy="17081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21655" cy="17081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E67C36" w:rsidRPr="00E20B2A" w14:paraId="01CEBE76" w14:textId="77777777" w:rsidTr="00E00C8B">
        <w:tc>
          <w:tcPr>
            <w:tcW w:w="8828" w:type="dxa"/>
            <w:shd w:val="clear" w:color="auto" w:fill="F2F7FC"/>
            <w:vAlign w:val="center"/>
          </w:tcPr>
          <w:p w14:paraId="6CACF739" w14:textId="77621B4B" w:rsidR="00E67C36" w:rsidRPr="009E16DB" w:rsidRDefault="00E00C8B" w:rsidP="003A658D">
            <w:pPr>
              <w:pStyle w:val="Sinespaciado"/>
              <w:spacing w:before="120"/>
              <w:jc w:val="both"/>
              <w:rPr>
                <w:rFonts w:ascii="Calibri" w:hAnsi="Calibri" w:cstheme="minorHAnsi"/>
                <w:b/>
                <w:bCs/>
                <w:color w:val="404040" w:themeColor="text1" w:themeTint="BF"/>
                <w:sz w:val="21"/>
                <w:szCs w:val="24"/>
              </w:rPr>
            </w:pPr>
            <w:r w:rsidRPr="009E16DB">
              <w:rPr>
                <w:rFonts w:ascii="Calibri" w:hAnsi="Calibri" w:cstheme="minorHAnsi"/>
                <w:b/>
                <w:bCs/>
                <w:color w:val="404040" w:themeColor="text1" w:themeTint="BF"/>
                <w:sz w:val="21"/>
                <w:szCs w:val="24"/>
              </w:rPr>
              <w:t>TEXTO 1. ORIENTACIONES PARA LA CONSTRUCCIÓN DE COMUNIDADES EDUCATIVAS INCLUSIVAS.</w:t>
            </w:r>
          </w:p>
          <w:p w14:paraId="42952AB6" w14:textId="77777777" w:rsidR="00E67C36" w:rsidRPr="00E00C8B" w:rsidRDefault="00E67C36" w:rsidP="003A658D">
            <w:pPr>
              <w:pStyle w:val="Pa13"/>
              <w:spacing w:before="120" w:after="120" w:line="240" w:lineRule="auto"/>
              <w:jc w:val="both"/>
              <w:rPr>
                <w:rStyle w:val="A3"/>
                <w:rFonts w:asciiTheme="minorHAnsi" w:hAnsiTheme="minorHAnsi" w:cstheme="minorHAnsi"/>
                <w:color w:val="404040" w:themeColor="text1" w:themeTint="BF"/>
                <w:sz w:val="18"/>
                <w:szCs w:val="18"/>
              </w:rPr>
            </w:pPr>
            <w:r w:rsidRPr="00E00C8B">
              <w:rPr>
                <w:rStyle w:val="A3"/>
                <w:rFonts w:asciiTheme="minorHAnsi" w:hAnsiTheme="minorHAnsi" w:cstheme="minorHAnsi"/>
                <w:color w:val="404040" w:themeColor="text1" w:themeTint="BF"/>
                <w:sz w:val="18"/>
                <w:szCs w:val="18"/>
              </w:rPr>
              <w:t xml:space="preserve">La Ley de Inclusión establece un desafío respecto de las decisiones pedagógicas y curriculares, pues en la sala de clases es cada vez mayor la heterogeneidad social, cultural y de estilos de aprendizajes. De acuerdo con el enfoque de dicha ley, en el documento </w:t>
            </w:r>
            <w:r w:rsidRPr="00E00C8B">
              <w:rPr>
                <w:rStyle w:val="A3"/>
                <w:rFonts w:asciiTheme="minorHAnsi" w:hAnsiTheme="minorHAnsi" w:cstheme="minorHAnsi"/>
                <w:i/>
                <w:color w:val="404040" w:themeColor="text1" w:themeTint="BF"/>
                <w:sz w:val="18"/>
                <w:szCs w:val="18"/>
              </w:rPr>
              <w:t>Orientaciones para la construcción de Comunidades Educativas Inclusivas</w:t>
            </w:r>
            <w:r w:rsidRPr="00E00C8B">
              <w:rPr>
                <w:rStyle w:val="A3"/>
                <w:rFonts w:asciiTheme="minorHAnsi" w:hAnsiTheme="minorHAnsi" w:cstheme="minorHAnsi"/>
                <w:color w:val="404040" w:themeColor="text1" w:themeTint="BF"/>
                <w:sz w:val="18"/>
                <w:szCs w:val="18"/>
              </w:rPr>
              <w:t xml:space="preserve"> (MINEDUC, 2016a) se ha sugerido tener en cuenta los siguientes principios para que exista una educación inclusiva: </w:t>
            </w:r>
          </w:p>
          <w:p w14:paraId="6F945C42" w14:textId="77777777" w:rsidR="00E67C36" w:rsidRPr="00E00C8B" w:rsidRDefault="00E67C36" w:rsidP="003A658D">
            <w:pPr>
              <w:pStyle w:val="Pa31"/>
              <w:spacing w:before="120" w:after="120" w:line="240" w:lineRule="auto"/>
              <w:ind w:left="16"/>
              <w:jc w:val="both"/>
              <w:rPr>
                <w:rFonts w:asciiTheme="minorHAnsi" w:hAnsiTheme="minorHAnsi" w:cstheme="minorHAnsi"/>
                <w:color w:val="404040" w:themeColor="text1" w:themeTint="BF"/>
                <w:sz w:val="18"/>
                <w:szCs w:val="18"/>
              </w:rPr>
            </w:pPr>
            <w:r w:rsidRPr="00E00C8B">
              <w:rPr>
                <w:rFonts w:asciiTheme="minorHAnsi" w:hAnsiTheme="minorHAnsi" w:cstheme="minorHAnsi"/>
                <w:b/>
                <w:bCs/>
                <w:color w:val="404040" w:themeColor="text1" w:themeTint="BF"/>
                <w:sz w:val="18"/>
                <w:szCs w:val="18"/>
              </w:rPr>
              <w:t xml:space="preserve">Presencia. </w:t>
            </w:r>
            <w:r w:rsidRPr="00E00C8B">
              <w:rPr>
                <w:rFonts w:asciiTheme="minorHAnsi" w:hAnsiTheme="minorHAnsi" w:cstheme="minorHAnsi"/>
                <w:color w:val="404040" w:themeColor="text1" w:themeTint="BF"/>
                <w:sz w:val="18"/>
                <w:szCs w:val="18"/>
              </w:rPr>
              <w:t xml:space="preserve">Las decisiones pedagógicas deben generar encuentros en la heterogeneidad, la colaboración y la mutua valoración entre estudiantes y grupos diversos. </w:t>
            </w:r>
          </w:p>
          <w:p w14:paraId="29A44F82" w14:textId="77777777" w:rsidR="00E67C36" w:rsidRPr="00E00C8B" w:rsidRDefault="00E67C36" w:rsidP="003A658D">
            <w:pPr>
              <w:pStyle w:val="Pa31"/>
              <w:spacing w:before="120" w:after="120" w:line="240" w:lineRule="auto"/>
              <w:ind w:left="16"/>
              <w:jc w:val="both"/>
              <w:rPr>
                <w:rFonts w:asciiTheme="minorHAnsi" w:hAnsiTheme="minorHAnsi" w:cstheme="minorHAnsi"/>
                <w:color w:val="404040" w:themeColor="text1" w:themeTint="BF"/>
                <w:sz w:val="18"/>
                <w:szCs w:val="18"/>
              </w:rPr>
            </w:pPr>
            <w:r w:rsidRPr="00E00C8B">
              <w:rPr>
                <w:rFonts w:asciiTheme="minorHAnsi" w:hAnsiTheme="minorHAnsi" w:cstheme="minorHAnsi"/>
                <w:b/>
                <w:bCs/>
                <w:color w:val="404040" w:themeColor="text1" w:themeTint="BF"/>
                <w:sz w:val="18"/>
                <w:szCs w:val="18"/>
              </w:rPr>
              <w:t xml:space="preserve">Reconocimiento. </w:t>
            </w:r>
            <w:r w:rsidRPr="00E00C8B">
              <w:rPr>
                <w:rFonts w:asciiTheme="minorHAnsi" w:hAnsiTheme="minorHAnsi" w:cstheme="minorHAnsi"/>
                <w:color w:val="404040" w:themeColor="text1" w:themeTint="BF"/>
                <w:sz w:val="18"/>
                <w:szCs w:val="18"/>
              </w:rPr>
              <w:t>Percibir al otro como un sujeto con variados talentos y características, considerando a cada uno como un aporte para el aprendizaje mutuo, teniendo especial cuidado con los estigmas y con limitar las expectativas sobre los estudiantes.</w:t>
            </w:r>
          </w:p>
          <w:p w14:paraId="1F8AE7B3" w14:textId="77777777" w:rsidR="00E67C36" w:rsidRPr="00E00C8B" w:rsidRDefault="00E67C36" w:rsidP="003A658D">
            <w:pPr>
              <w:pStyle w:val="Pa31"/>
              <w:spacing w:before="120" w:after="120" w:line="240" w:lineRule="auto"/>
              <w:ind w:left="16"/>
              <w:jc w:val="both"/>
              <w:rPr>
                <w:rFonts w:asciiTheme="minorHAnsi" w:hAnsiTheme="minorHAnsi" w:cstheme="minorHAnsi"/>
                <w:color w:val="404040" w:themeColor="text1" w:themeTint="BF"/>
                <w:sz w:val="18"/>
                <w:szCs w:val="18"/>
              </w:rPr>
            </w:pPr>
            <w:r w:rsidRPr="00E00C8B">
              <w:rPr>
                <w:rFonts w:asciiTheme="minorHAnsi" w:hAnsiTheme="minorHAnsi" w:cstheme="minorHAnsi"/>
                <w:b/>
                <w:bCs/>
                <w:color w:val="404040" w:themeColor="text1" w:themeTint="BF"/>
                <w:sz w:val="18"/>
                <w:szCs w:val="18"/>
              </w:rPr>
              <w:t xml:space="preserve">Pertinencia y representación. </w:t>
            </w:r>
            <w:r w:rsidRPr="00E00C8B">
              <w:rPr>
                <w:rFonts w:asciiTheme="minorHAnsi" w:hAnsiTheme="minorHAnsi" w:cstheme="minorHAnsi"/>
                <w:color w:val="404040" w:themeColor="text1" w:themeTint="BF"/>
                <w:sz w:val="18"/>
                <w:szCs w:val="18"/>
              </w:rPr>
              <w:t xml:space="preserve">Ofrecer variadas estrategias para alcanzar aprendizajes que consideren la diversidad de los estudiantes en relación con su cultura, orientación de género, edad, estilos y ritmos de aprendizaje, intereses y talentos, entre otros aspectos. Utilizar diferentes recursos educativos que faciliten el aprendizaje de los estudiantes. </w:t>
            </w:r>
          </w:p>
          <w:p w14:paraId="2EE77DB8" w14:textId="77777777" w:rsidR="00E67C36" w:rsidRPr="00E20B2A" w:rsidRDefault="00E67C36" w:rsidP="003A658D">
            <w:pPr>
              <w:spacing w:before="120" w:after="120"/>
              <w:ind w:left="16"/>
              <w:jc w:val="both"/>
              <w:rPr>
                <w:rFonts w:cstheme="minorHAnsi"/>
                <w:color w:val="FF0000"/>
              </w:rPr>
            </w:pPr>
            <w:r w:rsidRPr="00E00C8B">
              <w:rPr>
                <w:rStyle w:val="A3"/>
                <w:rFonts w:cstheme="minorHAnsi"/>
                <w:b/>
                <w:color w:val="404040" w:themeColor="text1" w:themeTint="BF"/>
                <w:sz w:val="18"/>
                <w:szCs w:val="18"/>
              </w:rPr>
              <w:t>Estos principios contribuyen a comprender que la diversidad en el aula es una constante que nos desafía a promover una formación integral, comprendiendo y reflexionando</w:t>
            </w:r>
            <w:r w:rsidRPr="00FE333F">
              <w:rPr>
                <w:rStyle w:val="A3"/>
                <w:rFonts w:cstheme="minorHAnsi"/>
                <w:color w:val="404040" w:themeColor="text1" w:themeTint="BF"/>
                <w:sz w:val="18"/>
                <w:szCs w:val="18"/>
              </w:rPr>
              <w:t xml:space="preserve"> </w:t>
            </w:r>
            <w:r w:rsidRPr="00E00C8B">
              <w:rPr>
                <w:rStyle w:val="A3"/>
                <w:rFonts w:cstheme="minorHAnsi"/>
                <w:color w:val="404040" w:themeColor="text1" w:themeTint="BF"/>
                <w:sz w:val="18"/>
                <w:szCs w:val="18"/>
              </w:rPr>
              <w:t>sobre lo aprendido en las experiencias de la vida cotidiana, para favorecer la participación como ciudadanos activos y responsables.</w:t>
            </w:r>
          </w:p>
        </w:tc>
      </w:tr>
      <w:tr w:rsidR="00E67C36" w:rsidRPr="00E20B2A" w14:paraId="4AFC182A" w14:textId="77777777" w:rsidTr="00E00C8B">
        <w:trPr>
          <w:trHeight w:val="967"/>
        </w:trPr>
        <w:tc>
          <w:tcPr>
            <w:tcW w:w="8828" w:type="dxa"/>
            <w:shd w:val="clear" w:color="auto" w:fill="DEEAF6" w:themeFill="accent5" w:themeFillTint="33"/>
            <w:vAlign w:val="center"/>
          </w:tcPr>
          <w:p w14:paraId="736D5456" w14:textId="09BE167E" w:rsidR="00E67C36" w:rsidRPr="00E00C8B" w:rsidRDefault="00E67C36" w:rsidP="00E00C8B">
            <w:pPr>
              <w:spacing w:before="120"/>
              <w:jc w:val="center"/>
              <w:rPr>
                <w:rFonts w:cstheme="minorHAnsi"/>
                <w:i/>
                <w:color w:val="404040" w:themeColor="text1" w:themeTint="BF"/>
                <w:sz w:val="18"/>
              </w:rPr>
            </w:pPr>
            <w:r w:rsidRPr="00E00C8B">
              <w:rPr>
                <w:rFonts w:cstheme="minorHAnsi"/>
                <w:i/>
                <w:color w:val="404040" w:themeColor="text1" w:themeTint="BF"/>
                <w:sz w:val="18"/>
              </w:rPr>
              <w:t>Para activar conocimientos o experiencias previas:</w:t>
            </w:r>
          </w:p>
          <w:p w14:paraId="44494C2C" w14:textId="77777777" w:rsidR="00E67C36" w:rsidRPr="00E20B2A" w:rsidRDefault="00E67C36" w:rsidP="00E00C8B">
            <w:pPr>
              <w:spacing w:after="120"/>
              <w:jc w:val="center"/>
              <w:rPr>
                <w:rFonts w:cstheme="minorHAnsi"/>
                <w:i/>
                <w:color w:val="FF0000"/>
              </w:rPr>
            </w:pPr>
            <w:r w:rsidRPr="00E00C8B">
              <w:rPr>
                <w:color w:val="404040" w:themeColor="text1" w:themeTint="BF"/>
                <w:sz w:val="18"/>
              </w:rPr>
              <w:t>¿Cuándo observamos la implementación del currículum es posible reconocer la heterogeneidad de los estudiantes y grupos de estudiantes que asisten al establecimiento?</w:t>
            </w:r>
          </w:p>
        </w:tc>
      </w:tr>
    </w:tbl>
    <w:p w14:paraId="47F294B4" w14:textId="49C20320" w:rsidR="00E67C36" w:rsidRDefault="00E67C36" w:rsidP="00E67C3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E67C36" w:rsidRPr="00E20B2A" w14:paraId="757A672A" w14:textId="77777777" w:rsidTr="009E16DB">
        <w:tc>
          <w:tcPr>
            <w:tcW w:w="8828" w:type="dxa"/>
            <w:shd w:val="clear" w:color="auto" w:fill="F2F7FC"/>
          </w:tcPr>
          <w:p w14:paraId="403F95E2" w14:textId="158519A7" w:rsidR="00E67C36" w:rsidRPr="009E16DB" w:rsidRDefault="009E16DB" w:rsidP="003A658D">
            <w:pPr>
              <w:pStyle w:val="Sinespaciado"/>
              <w:spacing w:before="120" w:after="120"/>
              <w:jc w:val="both"/>
              <w:rPr>
                <w:rFonts w:cstheme="minorHAnsi"/>
                <w:b/>
                <w:color w:val="404040" w:themeColor="text1" w:themeTint="BF"/>
                <w:sz w:val="21"/>
                <w:szCs w:val="18"/>
              </w:rPr>
            </w:pPr>
            <w:r w:rsidRPr="009E16DB">
              <w:rPr>
                <w:rFonts w:cstheme="minorHAnsi"/>
                <w:b/>
                <w:color w:val="404040" w:themeColor="text1" w:themeTint="BF"/>
                <w:sz w:val="21"/>
                <w:szCs w:val="18"/>
              </w:rPr>
              <w:t>TEXTO 2. LA NOCIÓN DE COBERTURA CURRICULAR Y SU IMPACTO EN LA VISIÓN DEL APRENDIZAJE (1)</w:t>
            </w:r>
          </w:p>
          <w:p w14:paraId="6265C66E" w14:textId="25C4711E" w:rsidR="00E67C36" w:rsidRPr="009E16DB" w:rsidRDefault="00E67C36" w:rsidP="003A658D">
            <w:pPr>
              <w:pStyle w:val="Sinespaciado"/>
              <w:spacing w:before="120" w:after="120"/>
              <w:jc w:val="both"/>
              <w:rPr>
                <w:rFonts w:cstheme="minorHAnsi"/>
                <w:color w:val="404040" w:themeColor="text1" w:themeTint="BF"/>
                <w:sz w:val="18"/>
                <w:szCs w:val="18"/>
              </w:rPr>
            </w:pPr>
            <w:r w:rsidRPr="009E16DB">
              <w:rPr>
                <w:rFonts w:cstheme="minorHAnsi"/>
                <w:color w:val="404040" w:themeColor="text1" w:themeTint="BF"/>
                <w:sz w:val="18"/>
                <w:szCs w:val="18"/>
              </w:rPr>
              <w:t>“Para una institución escolar orientada efectivamente al logro de aprendizajes de calidad por parte de los estudiantes, será fundamental monitorear sistemáticamente la Cobertura Curricular con el fin de evidenciar grados de avance y déficits. Esta información permitirá determinar, en consecuencia y de modo pertinente, procesos y prácticas de mejoramiento de la enseñanza. Ahora bien, esta práctica difiere en cada establecimiento escolar, en función de cómo éste interprete la demanda por la cobert</w:t>
            </w:r>
            <w:r w:rsidR="00332DA7">
              <w:rPr>
                <w:rFonts w:cstheme="minorHAnsi"/>
                <w:color w:val="404040" w:themeColor="text1" w:themeTint="BF"/>
                <w:sz w:val="18"/>
                <w:szCs w:val="18"/>
              </w:rPr>
              <w:t>ura y el sentido que ésta tiene</w:t>
            </w:r>
            <w:r w:rsidRPr="009E16DB">
              <w:rPr>
                <w:rFonts w:cstheme="minorHAnsi"/>
                <w:color w:val="404040" w:themeColor="text1" w:themeTint="BF"/>
                <w:sz w:val="18"/>
                <w:szCs w:val="18"/>
              </w:rPr>
              <w:t>”</w:t>
            </w:r>
            <w:sdt>
              <w:sdtPr>
                <w:rPr>
                  <w:rFonts w:cstheme="minorHAnsi"/>
                  <w:color w:val="404040" w:themeColor="text1" w:themeTint="BF"/>
                  <w:sz w:val="18"/>
                  <w:szCs w:val="18"/>
                </w:rPr>
                <w:id w:val="945349994"/>
                <w:citation/>
              </w:sdtPr>
              <w:sdtEndPr/>
              <w:sdtContent>
                <w:r w:rsidRPr="009E16DB">
                  <w:rPr>
                    <w:rFonts w:cstheme="minorHAnsi"/>
                    <w:color w:val="404040" w:themeColor="text1" w:themeTint="BF"/>
                    <w:sz w:val="18"/>
                    <w:szCs w:val="18"/>
                  </w:rPr>
                  <w:fldChar w:fldCharType="begin"/>
                </w:r>
                <w:r w:rsidRPr="009E16DB">
                  <w:rPr>
                    <w:rFonts w:cstheme="minorHAnsi"/>
                    <w:color w:val="404040" w:themeColor="text1" w:themeTint="BF"/>
                    <w:sz w:val="18"/>
                    <w:szCs w:val="18"/>
                  </w:rPr>
                  <w:instrText xml:space="preserve"> CITATION Ner16 \l 13322 </w:instrText>
                </w:r>
                <w:r w:rsidRPr="009E16DB">
                  <w:rPr>
                    <w:rFonts w:cstheme="minorHAnsi"/>
                    <w:color w:val="404040" w:themeColor="text1" w:themeTint="BF"/>
                    <w:sz w:val="18"/>
                    <w:szCs w:val="18"/>
                  </w:rPr>
                  <w:fldChar w:fldCharType="separate"/>
                </w:r>
                <w:r w:rsidRPr="009E16DB">
                  <w:rPr>
                    <w:rFonts w:cstheme="minorHAnsi"/>
                    <w:noProof/>
                    <w:color w:val="404040" w:themeColor="text1" w:themeTint="BF"/>
                    <w:sz w:val="18"/>
                    <w:szCs w:val="18"/>
                  </w:rPr>
                  <w:t xml:space="preserve"> (Nercellas, 2016)</w:t>
                </w:r>
                <w:r w:rsidRPr="009E16DB">
                  <w:rPr>
                    <w:rFonts w:cstheme="minorHAnsi"/>
                    <w:color w:val="404040" w:themeColor="text1" w:themeTint="BF"/>
                    <w:sz w:val="18"/>
                    <w:szCs w:val="18"/>
                  </w:rPr>
                  <w:fldChar w:fldCharType="end"/>
                </w:r>
              </w:sdtContent>
            </w:sdt>
            <w:r w:rsidRPr="009E16DB">
              <w:rPr>
                <w:rFonts w:cstheme="minorHAnsi"/>
                <w:color w:val="404040" w:themeColor="text1" w:themeTint="BF"/>
                <w:sz w:val="18"/>
                <w:szCs w:val="18"/>
              </w:rPr>
              <w:t xml:space="preserve">. </w:t>
            </w:r>
          </w:p>
        </w:tc>
      </w:tr>
      <w:tr w:rsidR="00E67C36" w:rsidRPr="00E20B2A" w14:paraId="39395620" w14:textId="77777777" w:rsidTr="009E16DB">
        <w:tc>
          <w:tcPr>
            <w:tcW w:w="8828" w:type="dxa"/>
            <w:shd w:val="clear" w:color="auto" w:fill="DEEAF6" w:themeFill="accent5" w:themeFillTint="33"/>
          </w:tcPr>
          <w:p w14:paraId="73D4A41A" w14:textId="3FD3108D" w:rsidR="00E67C36" w:rsidRPr="009E16DB" w:rsidRDefault="00E67C36" w:rsidP="009E16DB">
            <w:pPr>
              <w:spacing w:before="120"/>
              <w:jc w:val="center"/>
              <w:rPr>
                <w:rFonts w:cstheme="minorHAnsi"/>
                <w:i/>
                <w:color w:val="404040" w:themeColor="text1" w:themeTint="BF"/>
                <w:sz w:val="18"/>
                <w:szCs w:val="18"/>
              </w:rPr>
            </w:pPr>
            <w:r w:rsidRPr="009E16DB">
              <w:rPr>
                <w:rFonts w:cstheme="minorHAnsi"/>
                <w:i/>
                <w:color w:val="404040" w:themeColor="text1" w:themeTint="BF"/>
                <w:sz w:val="18"/>
                <w:szCs w:val="18"/>
              </w:rPr>
              <w:t>Para activar conocimientos o experiencias previas:</w:t>
            </w:r>
          </w:p>
          <w:p w14:paraId="3FA85E60" w14:textId="335CEF82" w:rsidR="00E67C36" w:rsidRPr="009E16DB" w:rsidRDefault="00E67C36" w:rsidP="009E16DB">
            <w:pPr>
              <w:spacing w:after="120"/>
              <w:jc w:val="center"/>
              <w:rPr>
                <w:rFonts w:cstheme="minorHAnsi"/>
                <w:i/>
                <w:color w:val="404040" w:themeColor="text1" w:themeTint="BF"/>
                <w:sz w:val="18"/>
                <w:szCs w:val="18"/>
              </w:rPr>
            </w:pPr>
            <w:r w:rsidRPr="009E16DB">
              <w:rPr>
                <w:rFonts w:cstheme="minorHAnsi"/>
                <w:i/>
                <w:color w:val="404040" w:themeColor="text1" w:themeTint="BF"/>
                <w:sz w:val="18"/>
                <w:szCs w:val="18"/>
              </w:rPr>
              <w:t>¿Cómo hemos definido en nuestra institución el sentido de la Cobertura Curricular?</w:t>
            </w:r>
          </w:p>
        </w:tc>
      </w:tr>
    </w:tbl>
    <w:p w14:paraId="67A9EDE1" w14:textId="32FEB7E5" w:rsidR="00E67C36" w:rsidRDefault="008502FB" w:rsidP="00E67C36">
      <w:r>
        <w:rPr>
          <w:noProof/>
          <w:lang w:val="es-CL" w:eastAsia="es-CL"/>
        </w:rPr>
        <w:drawing>
          <wp:anchor distT="0" distB="0" distL="114300" distR="114300" simplePos="0" relativeHeight="251692032" behindDoc="0" locked="0" layoutInCell="1" allowOverlap="1" wp14:anchorId="1F170002" wp14:editId="35B3DE50">
            <wp:simplePos x="0" y="0"/>
            <wp:positionH relativeFrom="margin">
              <wp:posOffset>-1534</wp:posOffset>
            </wp:positionH>
            <wp:positionV relativeFrom="paragraph">
              <wp:posOffset>284694</wp:posOffset>
            </wp:positionV>
            <wp:extent cx="5621655" cy="170815"/>
            <wp:effectExtent l="0" t="0" r="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21655" cy="170815"/>
                    </a:xfrm>
                    <a:prstGeom prst="rect">
                      <a:avLst/>
                    </a:prstGeom>
                  </pic:spPr>
                </pic:pic>
              </a:graphicData>
            </a:graphic>
            <wp14:sizeRelH relativeFrom="margin">
              <wp14:pctWidth>0</wp14:pctWidth>
            </wp14:sizeRelH>
            <wp14:sizeRelV relativeFrom="margin">
              <wp14:pctHeight>0</wp14:pctHeight>
            </wp14:sizeRelV>
          </wp:anchor>
        </w:drawing>
      </w:r>
    </w:p>
    <w:p w14:paraId="7D17ABEC" w14:textId="2B75D388" w:rsidR="00E67C36" w:rsidRPr="00142FBA" w:rsidRDefault="00E67C36" w:rsidP="00E67C36"/>
    <w:p w14:paraId="102B7F1D" w14:textId="47F2B25F" w:rsidR="00E67C36" w:rsidRDefault="00E67C36" w:rsidP="00E67C36">
      <w:pPr>
        <w:pStyle w:val="Ttulo1"/>
        <w:rPr>
          <w:rFonts w:cstheme="minorHAnsi"/>
          <w:b/>
          <w:color w:val="auto"/>
        </w:rPr>
      </w:pPr>
    </w:p>
    <w:p w14:paraId="4B36B49A" w14:textId="0E46BF2A" w:rsidR="009E16DB" w:rsidRDefault="009E16DB" w:rsidP="009E16DB">
      <w:pPr>
        <w:rPr>
          <w:lang w:val="es-CL"/>
        </w:rPr>
      </w:pPr>
    </w:p>
    <w:p w14:paraId="0CBB5157" w14:textId="1F24D6DC" w:rsidR="009E16DB" w:rsidRDefault="009E16DB" w:rsidP="0079738D">
      <w:pPr>
        <w:ind w:left="-709"/>
        <w:rPr>
          <w:lang w:val="es-CL"/>
        </w:rPr>
      </w:pPr>
    </w:p>
    <w:p w14:paraId="092C1E79" w14:textId="02616E0D" w:rsidR="009E16DB" w:rsidRDefault="009E16DB" w:rsidP="009E16DB">
      <w:pPr>
        <w:rPr>
          <w:lang w:val="es-CL"/>
        </w:rPr>
      </w:pPr>
    </w:p>
    <w:p w14:paraId="7C99AD58" w14:textId="63537BE7" w:rsidR="009E16DB" w:rsidRDefault="009E16DB" w:rsidP="009E16DB">
      <w:pPr>
        <w:rPr>
          <w:lang w:val="es-CL"/>
        </w:rPr>
      </w:pPr>
    </w:p>
    <w:p w14:paraId="2E9BFB50" w14:textId="40C4C82B" w:rsidR="009E16DB" w:rsidRDefault="009E16DB" w:rsidP="009E16DB">
      <w:pPr>
        <w:rPr>
          <w:lang w:val="es-CL"/>
        </w:rPr>
      </w:pPr>
    </w:p>
    <w:p w14:paraId="794A5E93" w14:textId="4767C9F6" w:rsidR="00B73D8F" w:rsidRDefault="00B73D8F" w:rsidP="009E16DB">
      <w:pPr>
        <w:rPr>
          <w:lang w:val="es-CL"/>
        </w:rPr>
      </w:pPr>
    </w:p>
    <w:p w14:paraId="351B267D" w14:textId="6A651C9D" w:rsidR="00B73D8F" w:rsidRDefault="00B73D8F" w:rsidP="009E16DB">
      <w:pPr>
        <w:rPr>
          <w:lang w:val="es-CL"/>
        </w:rPr>
      </w:pPr>
    </w:p>
    <w:p w14:paraId="6241E82F" w14:textId="69FBDFF2" w:rsidR="00B73D8F" w:rsidRDefault="00B73D8F" w:rsidP="009E16DB">
      <w:pPr>
        <w:rPr>
          <w:lang w:val="es-CL"/>
        </w:rPr>
      </w:pPr>
    </w:p>
    <w:p w14:paraId="15754FD5" w14:textId="74209B94" w:rsidR="00B73D8F" w:rsidRDefault="009852AA" w:rsidP="009E16DB">
      <w:pPr>
        <w:rPr>
          <w:lang w:val="es-CL"/>
        </w:rPr>
      </w:pPr>
      <w:r w:rsidRPr="009E16DB">
        <w:rPr>
          <w:rFonts w:ascii="Calibri" w:hAnsi="Calibri"/>
          <w:b/>
          <w:bCs/>
          <w:noProof/>
          <w:color w:val="404040" w:themeColor="text1" w:themeTint="BF"/>
          <w:lang w:val="es-CL" w:eastAsia="es-CL"/>
        </w:rPr>
        <w:drawing>
          <wp:anchor distT="0" distB="0" distL="114300" distR="114300" simplePos="0" relativeHeight="251673600" behindDoc="1" locked="0" layoutInCell="1" allowOverlap="1" wp14:anchorId="24151112" wp14:editId="11ADAA81">
            <wp:simplePos x="0" y="0"/>
            <wp:positionH relativeFrom="column">
              <wp:posOffset>-457200</wp:posOffset>
            </wp:positionH>
            <wp:positionV relativeFrom="paragraph">
              <wp:posOffset>150759</wp:posOffset>
            </wp:positionV>
            <wp:extent cx="6085205" cy="182245"/>
            <wp:effectExtent l="0" t="0" r="1079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085205" cy="182245"/>
                    </a:xfrm>
                    <a:prstGeom prst="rect">
                      <a:avLst/>
                    </a:prstGeom>
                  </pic:spPr>
                </pic:pic>
              </a:graphicData>
            </a:graphic>
            <wp14:sizeRelH relativeFrom="page">
              <wp14:pctWidth>0</wp14:pctWidth>
            </wp14:sizeRelH>
            <wp14:sizeRelV relativeFrom="page">
              <wp14:pctHeight>0</wp14:pctHeight>
            </wp14:sizeRelV>
          </wp:anchor>
        </w:drawing>
      </w:r>
    </w:p>
    <w:p w14:paraId="6DA05144" w14:textId="31DBB7C5" w:rsidR="00B73D8F" w:rsidRPr="009E16DB" w:rsidRDefault="00B73D8F" w:rsidP="009E16DB">
      <w:pPr>
        <w:rPr>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E67C36" w:rsidRPr="00E27F5F" w14:paraId="6DE87FF5" w14:textId="77777777" w:rsidTr="00175B71">
        <w:tc>
          <w:tcPr>
            <w:tcW w:w="8828" w:type="dxa"/>
            <w:shd w:val="clear" w:color="auto" w:fill="F2F7FC"/>
          </w:tcPr>
          <w:p w14:paraId="6FB8311B" w14:textId="0EA786B4" w:rsidR="00E67C36" w:rsidRPr="00175B71" w:rsidRDefault="00175B71" w:rsidP="003A658D">
            <w:pPr>
              <w:pStyle w:val="Sinespaciado"/>
              <w:spacing w:before="120"/>
              <w:rPr>
                <w:rFonts w:cstheme="minorHAnsi"/>
                <w:b/>
                <w:color w:val="404040" w:themeColor="text1" w:themeTint="BF"/>
                <w:sz w:val="21"/>
                <w:szCs w:val="24"/>
              </w:rPr>
            </w:pPr>
            <w:r w:rsidRPr="00175B71">
              <w:rPr>
                <w:rFonts w:cstheme="minorHAnsi"/>
                <w:b/>
                <w:color w:val="404040" w:themeColor="text1" w:themeTint="BF"/>
                <w:sz w:val="21"/>
                <w:szCs w:val="24"/>
              </w:rPr>
              <w:t>TEXTO 3. LA NOCIÓN DE COBERTURA CURRICULAR Y SU IMPACTO EN LA VISIÓN DEL APRENDIZAJE (2)</w:t>
            </w:r>
          </w:p>
          <w:p w14:paraId="0840D425" w14:textId="77777777" w:rsidR="00E67C36" w:rsidRPr="00175B71" w:rsidRDefault="00E67C36" w:rsidP="003A658D">
            <w:pPr>
              <w:spacing w:before="120" w:after="120"/>
              <w:jc w:val="both"/>
              <w:rPr>
                <w:rFonts w:eastAsia="Times New Roman" w:cstheme="minorHAnsi"/>
                <w:color w:val="404040" w:themeColor="text1" w:themeTint="BF"/>
                <w:sz w:val="18"/>
                <w:lang w:eastAsia="es-CL"/>
              </w:rPr>
            </w:pPr>
            <w:r w:rsidRPr="00175B71">
              <w:rPr>
                <w:rFonts w:eastAsia="Times New Roman" w:cstheme="minorHAnsi"/>
                <w:color w:val="404040" w:themeColor="text1" w:themeTint="BF"/>
                <w:sz w:val="18"/>
                <w:lang w:eastAsia="es-CL"/>
              </w:rPr>
              <w:t>“Es evidente que una noción de cobertura que considere la triada: prescrito, implementado y aprendido impacta la visión respecto del aprendizaje y la evaluación. Asumir el desafío de cobertura desde esta perspectiva supone considerar el aprendizaje como una construcción que pone al centro la relación y compromiso entre: docentes – estudiantes, y evaluación como un recurso que nutre de manera permanente las decisiones docentes. </w:t>
            </w:r>
          </w:p>
          <w:p w14:paraId="3A174252" w14:textId="77777777" w:rsidR="00E67C36" w:rsidRPr="00175B71" w:rsidRDefault="00E67C36" w:rsidP="003A658D">
            <w:pPr>
              <w:spacing w:before="120" w:after="120"/>
              <w:jc w:val="both"/>
              <w:rPr>
                <w:rFonts w:eastAsia="Times New Roman" w:cstheme="minorHAnsi"/>
                <w:color w:val="404040" w:themeColor="text1" w:themeTint="BF"/>
                <w:sz w:val="18"/>
                <w:lang w:eastAsia="es-CL"/>
              </w:rPr>
            </w:pPr>
            <w:r w:rsidRPr="00175B71">
              <w:rPr>
                <w:rFonts w:eastAsia="Times New Roman" w:cstheme="minorHAnsi"/>
                <w:color w:val="404040" w:themeColor="text1" w:themeTint="BF"/>
                <w:sz w:val="18"/>
                <w:lang w:eastAsia="es-CL"/>
              </w:rPr>
              <w:t>El procedimiento habitual que se propone a los centros escolares para enfrentar el desafío de la cobertura considera la siguiente secuencia: </w:t>
            </w:r>
          </w:p>
          <w:p w14:paraId="29580414" w14:textId="77777777" w:rsidR="00E67C36" w:rsidRPr="00175B71" w:rsidRDefault="00E67C36" w:rsidP="00E67C36">
            <w:pPr>
              <w:numPr>
                <w:ilvl w:val="0"/>
                <w:numId w:val="11"/>
              </w:numPr>
              <w:spacing w:before="120" w:after="120"/>
              <w:jc w:val="both"/>
              <w:rPr>
                <w:rFonts w:eastAsia="Times New Roman" w:cstheme="minorHAnsi"/>
                <w:color w:val="404040" w:themeColor="text1" w:themeTint="BF"/>
                <w:sz w:val="18"/>
                <w:lang w:eastAsia="es-CL"/>
              </w:rPr>
            </w:pPr>
            <w:r w:rsidRPr="00175B71">
              <w:rPr>
                <w:rFonts w:eastAsia="Times New Roman" w:cstheme="minorHAnsi"/>
                <w:b/>
                <w:bCs/>
                <w:color w:val="404040" w:themeColor="text1" w:themeTint="BF"/>
                <w:sz w:val="18"/>
                <w:lang w:eastAsia="es-CL"/>
              </w:rPr>
              <w:t>Planificar</w:t>
            </w:r>
            <w:r w:rsidRPr="00175B71">
              <w:rPr>
                <w:rFonts w:eastAsia="Times New Roman" w:cstheme="minorHAnsi"/>
                <w:color w:val="404040" w:themeColor="text1" w:themeTint="BF"/>
                <w:sz w:val="18"/>
                <w:lang w:eastAsia="es-CL"/>
              </w:rPr>
              <w:t>, a nivel de aula y de la institución escolar, y enseñar 100% de los Objetivos de Aprendizaje, asegurando Cobertura Curricular.</w:t>
            </w:r>
          </w:p>
          <w:p w14:paraId="30A14743" w14:textId="77777777" w:rsidR="00E67C36" w:rsidRPr="00175B71" w:rsidRDefault="00E67C36" w:rsidP="00E67C36">
            <w:pPr>
              <w:numPr>
                <w:ilvl w:val="0"/>
                <w:numId w:val="11"/>
              </w:numPr>
              <w:spacing w:before="120" w:after="120"/>
              <w:jc w:val="both"/>
              <w:rPr>
                <w:rFonts w:eastAsia="Times New Roman" w:cstheme="minorHAnsi"/>
                <w:color w:val="404040" w:themeColor="text1" w:themeTint="BF"/>
                <w:sz w:val="18"/>
                <w:lang w:eastAsia="es-CL"/>
              </w:rPr>
            </w:pPr>
            <w:r w:rsidRPr="00175B71">
              <w:rPr>
                <w:rFonts w:eastAsia="Times New Roman" w:cstheme="minorHAnsi"/>
                <w:b/>
                <w:bCs/>
                <w:color w:val="404040" w:themeColor="text1" w:themeTint="BF"/>
                <w:sz w:val="18"/>
                <w:lang w:eastAsia="es-CL"/>
              </w:rPr>
              <w:t>Medir</w:t>
            </w:r>
            <w:r w:rsidRPr="00175B71">
              <w:rPr>
                <w:rFonts w:eastAsia="Times New Roman" w:cstheme="minorHAnsi"/>
                <w:color w:val="404040" w:themeColor="text1" w:themeTint="BF"/>
                <w:sz w:val="18"/>
                <w:lang w:eastAsia="es-CL"/>
              </w:rPr>
              <w:t> los logros de aprendizaje, evidenciando las brechas entre currículum planificado, enseñado y aprendido. </w:t>
            </w:r>
          </w:p>
          <w:p w14:paraId="3637A092" w14:textId="77777777" w:rsidR="00E67C36" w:rsidRPr="00175B71" w:rsidRDefault="00E67C36" w:rsidP="00E67C36">
            <w:pPr>
              <w:numPr>
                <w:ilvl w:val="0"/>
                <w:numId w:val="11"/>
              </w:numPr>
              <w:spacing w:before="120" w:after="120"/>
              <w:jc w:val="both"/>
              <w:rPr>
                <w:rFonts w:eastAsia="Times New Roman" w:cstheme="minorHAnsi"/>
                <w:color w:val="404040" w:themeColor="text1" w:themeTint="BF"/>
                <w:sz w:val="18"/>
                <w:lang w:eastAsia="es-CL"/>
              </w:rPr>
            </w:pPr>
            <w:r w:rsidRPr="00175B71">
              <w:rPr>
                <w:rFonts w:eastAsia="Times New Roman" w:cstheme="minorHAnsi"/>
                <w:b/>
                <w:bCs/>
                <w:color w:val="404040" w:themeColor="text1" w:themeTint="BF"/>
                <w:sz w:val="18"/>
                <w:lang w:eastAsia="es-CL"/>
              </w:rPr>
              <w:t>Reflexionar y ajustar</w:t>
            </w:r>
            <w:r w:rsidRPr="00175B71">
              <w:rPr>
                <w:rFonts w:eastAsia="Times New Roman" w:cstheme="minorHAnsi"/>
                <w:color w:val="404040" w:themeColor="text1" w:themeTint="BF"/>
                <w:sz w:val="18"/>
                <w:lang w:eastAsia="es-CL"/>
              </w:rPr>
              <w:t> los procesos de planificación, prácticas de enseñanza y de reforzamiento para que superen las brechas entre el currículum prescrito y el aprendido. Este proceso suele ser el más complejo, porque depende directamente de la profundidad de análisis que se haga de los resultados de las evaluaciones aplicadas.</w:t>
            </w:r>
          </w:p>
          <w:p w14:paraId="0F17C29B" w14:textId="77777777" w:rsidR="00E67C36" w:rsidRPr="00175B71" w:rsidRDefault="00E67C36" w:rsidP="003A658D">
            <w:pPr>
              <w:spacing w:before="120" w:after="120"/>
              <w:jc w:val="both"/>
              <w:rPr>
                <w:rFonts w:eastAsia="Times New Roman" w:cstheme="minorHAnsi"/>
                <w:color w:val="404040" w:themeColor="text1" w:themeTint="BF"/>
                <w:sz w:val="18"/>
                <w:lang w:eastAsia="es-CL"/>
              </w:rPr>
            </w:pPr>
            <w:r w:rsidRPr="00175B71">
              <w:rPr>
                <w:rFonts w:eastAsia="Times New Roman" w:cstheme="minorHAnsi"/>
                <w:color w:val="404040" w:themeColor="text1" w:themeTint="BF"/>
                <w:sz w:val="18"/>
                <w:lang w:eastAsia="es-CL"/>
              </w:rPr>
              <w:t>Una escuela que en su noción de cobertura pone al centro lo efectivamente aprendido, visualiza avances e insuficiencias, identifica alumnos y cursos rezagados, se hace cargo de esta información y en coherencia con ella, propone ajustes a las planificaciones, adapta las estrategias de aula y define acciones de apoyo a quienes las necesitan. La evaluación, por tanto, cobra un valor trascendental, puesto que la información sobre logros de aprendizaje facilitará la focalización de esfuerzos y promoverá en los docentes compromiso con el progreso y aprendizaje de sus estudiantes” </w:t>
            </w:r>
            <w:r w:rsidRPr="00175B71">
              <w:rPr>
                <w:rFonts w:cstheme="minorHAnsi"/>
                <w:noProof/>
                <w:color w:val="404040" w:themeColor="text1" w:themeTint="BF"/>
                <w:sz w:val="18"/>
              </w:rPr>
              <w:t>(</w:t>
            </w:r>
            <w:proofErr w:type="spellStart"/>
            <w:r w:rsidRPr="00175B71">
              <w:rPr>
                <w:rFonts w:cstheme="minorHAnsi"/>
                <w:noProof/>
                <w:color w:val="404040" w:themeColor="text1" w:themeTint="BF"/>
                <w:sz w:val="18"/>
              </w:rPr>
              <w:t>Nercellas</w:t>
            </w:r>
            <w:proofErr w:type="spellEnd"/>
            <w:r w:rsidRPr="00175B71">
              <w:rPr>
                <w:rFonts w:cstheme="minorHAnsi"/>
                <w:noProof/>
                <w:color w:val="404040" w:themeColor="text1" w:themeTint="BF"/>
                <w:sz w:val="18"/>
              </w:rPr>
              <w:t>, 2016).</w:t>
            </w:r>
          </w:p>
          <w:p w14:paraId="01C053A7" w14:textId="2709F65B" w:rsidR="00E67C36" w:rsidRDefault="00EA4BFE" w:rsidP="003A658D">
            <w:pPr>
              <w:spacing w:before="150" w:after="150" w:line="255" w:lineRule="atLeast"/>
              <w:jc w:val="center"/>
              <w:rPr>
                <w:rFonts w:eastAsia="Times New Roman" w:cstheme="minorHAnsi"/>
                <w:color w:val="1E1D1D"/>
                <w:lang w:eastAsia="es-CL"/>
              </w:rPr>
            </w:pPr>
            <w:r w:rsidRPr="00EA4BFE">
              <w:rPr>
                <w:rFonts w:eastAsia="Times New Roman" w:cstheme="minorHAnsi"/>
                <w:noProof/>
                <w:color w:val="1E1D1D"/>
                <w:lang w:val="es-CL" w:eastAsia="es-CL"/>
              </w:rPr>
              <w:drawing>
                <wp:anchor distT="0" distB="0" distL="114300" distR="114300" simplePos="0" relativeHeight="251678720" behindDoc="0" locked="0" layoutInCell="1" allowOverlap="1" wp14:anchorId="5FDCC13B" wp14:editId="3FD9AB1D">
                  <wp:simplePos x="0" y="0"/>
                  <wp:positionH relativeFrom="column">
                    <wp:posOffset>238760</wp:posOffset>
                  </wp:positionH>
                  <wp:positionV relativeFrom="paragraph">
                    <wp:posOffset>212147</wp:posOffset>
                  </wp:positionV>
                  <wp:extent cx="4902200" cy="1498600"/>
                  <wp:effectExtent l="0" t="0" r="0" b="0"/>
                  <wp:wrapTight wrapText="bothSides">
                    <wp:wrapPolygon edited="0">
                      <wp:start x="0" y="0"/>
                      <wp:lineTo x="0" y="21234"/>
                      <wp:lineTo x="21488" y="21234"/>
                      <wp:lineTo x="21488"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02200" cy="1498600"/>
                          </a:xfrm>
                          <a:prstGeom prst="rect">
                            <a:avLst/>
                          </a:prstGeom>
                        </pic:spPr>
                      </pic:pic>
                    </a:graphicData>
                  </a:graphic>
                  <wp14:sizeRelH relativeFrom="page">
                    <wp14:pctWidth>0</wp14:pctWidth>
                  </wp14:sizeRelH>
                  <wp14:sizeRelV relativeFrom="page">
                    <wp14:pctHeight>0</wp14:pctHeight>
                  </wp14:sizeRelV>
                </wp:anchor>
              </w:drawing>
            </w:r>
          </w:p>
          <w:p w14:paraId="0304430C" w14:textId="17DD7CD0" w:rsidR="00B73D8F" w:rsidRDefault="00B73D8F" w:rsidP="003A658D">
            <w:pPr>
              <w:spacing w:before="150" w:after="150" w:line="255" w:lineRule="atLeast"/>
              <w:jc w:val="center"/>
              <w:rPr>
                <w:rFonts w:eastAsia="Times New Roman" w:cstheme="minorHAnsi"/>
                <w:color w:val="1E1D1D"/>
                <w:lang w:eastAsia="es-CL"/>
              </w:rPr>
            </w:pPr>
          </w:p>
          <w:p w14:paraId="558CCB5F" w14:textId="5EB2BF5F" w:rsidR="00B73D8F" w:rsidRDefault="00B73D8F" w:rsidP="003A658D">
            <w:pPr>
              <w:spacing w:before="150" w:after="150" w:line="255" w:lineRule="atLeast"/>
              <w:jc w:val="center"/>
              <w:rPr>
                <w:rFonts w:eastAsia="Times New Roman" w:cstheme="minorHAnsi"/>
                <w:color w:val="1E1D1D"/>
                <w:lang w:eastAsia="es-CL"/>
              </w:rPr>
            </w:pPr>
          </w:p>
          <w:p w14:paraId="1562D535" w14:textId="42EEEBE9" w:rsidR="00B73D8F" w:rsidRDefault="00B73D8F" w:rsidP="003A658D">
            <w:pPr>
              <w:spacing w:before="150" w:after="150" w:line="255" w:lineRule="atLeast"/>
              <w:jc w:val="center"/>
              <w:rPr>
                <w:rFonts w:eastAsia="Times New Roman" w:cstheme="minorHAnsi"/>
                <w:color w:val="1E1D1D"/>
                <w:lang w:eastAsia="es-CL"/>
              </w:rPr>
            </w:pPr>
          </w:p>
          <w:p w14:paraId="0B9A06A2" w14:textId="234BDA38" w:rsidR="00B73D8F" w:rsidRDefault="00B73D8F" w:rsidP="003A658D">
            <w:pPr>
              <w:spacing w:before="150" w:after="150" w:line="255" w:lineRule="atLeast"/>
              <w:jc w:val="center"/>
              <w:rPr>
                <w:rFonts w:eastAsia="Times New Roman" w:cstheme="minorHAnsi"/>
                <w:color w:val="1E1D1D"/>
                <w:lang w:eastAsia="es-CL"/>
              </w:rPr>
            </w:pPr>
          </w:p>
          <w:p w14:paraId="2EFD270E" w14:textId="77777777" w:rsidR="00B73D8F" w:rsidRDefault="00B73D8F" w:rsidP="003A658D">
            <w:pPr>
              <w:spacing w:before="150" w:after="150" w:line="255" w:lineRule="atLeast"/>
              <w:jc w:val="center"/>
              <w:rPr>
                <w:rFonts w:eastAsia="Times New Roman" w:cstheme="minorHAnsi"/>
                <w:color w:val="1E1D1D"/>
                <w:lang w:eastAsia="es-CL"/>
              </w:rPr>
            </w:pPr>
          </w:p>
          <w:p w14:paraId="1D916550" w14:textId="5084626A" w:rsidR="00B73D8F" w:rsidRPr="009C4E1A" w:rsidRDefault="00B73D8F" w:rsidP="00EA4BFE">
            <w:pPr>
              <w:spacing w:before="150" w:after="150" w:line="255" w:lineRule="atLeast"/>
              <w:rPr>
                <w:rFonts w:eastAsia="Times New Roman" w:cstheme="minorHAnsi"/>
                <w:color w:val="1E1D1D"/>
                <w:lang w:eastAsia="es-CL"/>
              </w:rPr>
            </w:pPr>
          </w:p>
        </w:tc>
      </w:tr>
      <w:tr w:rsidR="00E67C36" w:rsidRPr="00E20B2A" w14:paraId="1FB0259F" w14:textId="77777777" w:rsidTr="00175B71">
        <w:tc>
          <w:tcPr>
            <w:tcW w:w="8828" w:type="dxa"/>
            <w:shd w:val="clear" w:color="auto" w:fill="DEEAF6" w:themeFill="accent5" w:themeFillTint="33"/>
          </w:tcPr>
          <w:p w14:paraId="0B81C84D" w14:textId="28BD303E" w:rsidR="00E67C36" w:rsidRPr="00FC3A76" w:rsidRDefault="00E67C36" w:rsidP="00FC3A76">
            <w:pPr>
              <w:spacing w:before="120"/>
              <w:jc w:val="center"/>
              <w:rPr>
                <w:rFonts w:cstheme="minorHAnsi"/>
                <w:i/>
                <w:color w:val="404040" w:themeColor="text1" w:themeTint="BF"/>
                <w:sz w:val="18"/>
              </w:rPr>
            </w:pPr>
            <w:r w:rsidRPr="00FC3A76">
              <w:rPr>
                <w:rFonts w:cstheme="minorHAnsi"/>
                <w:i/>
                <w:color w:val="404040" w:themeColor="text1" w:themeTint="BF"/>
                <w:sz w:val="18"/>
              </w:rPr>
              <w:t xml:space="preserve">Para activar </w:t>
            </w:r>
            <w:r w:rsidR="00FC3A76" w:rsidRPr="00FC3A76">
              <w:rPr>
                <w:rFonts w:cstheme="minorHAnsi"/>
                <w:i/>
                <w:color w:val="404040" w:themeColor="text1" w:themeTint="BF"/>
                <w:sz w:val="18"/>
              </w:rPr>
              <w:t xml:space="preserve">conocimientos </w:t>
            </w:r>
            <w:r w:rsidRPr="00FC3A76">
              <w:rPr>
                <w:rFonts w:cstheme="minorHAnsi"/>
                <w:i/>
                <w:color w:val="404040" w:themeColor="text1" w:themeTint="BF"/>
                <w:sz w:val="18"/>
              </w:rPr>
              <w:t>o experiencias previas:</w:t>
            </w:r>
          </w:p>
          <w:p w14:paraId="0CEDF3D7" w14:textId="77777777" w:rsidR="00E67C36" w:rsidRPr="00E20B2A" w:rsidRDefault="00E67C36" w:rsidP="00FC3A76">
            <w:pPr>
              <w:spacing w:after="120"/>
              <w:jc w:val="center"/>
              <w:rPr>
                <w:rFonts w:cstheme="minorHAnsi"/>
                <w:i/>
                <w:color w:val="FF0000"/>
              </w:rPr>
            </w:pPr>
            <w:r w:rsidRPr="00FC3A76">
              <w:rPr>
                <w:rFonts w:cstheme="minorHAnsi"/>
                <w:i/>
                <w:color w:val="404040" w:themeColor="text1" w:themeTint="BF"/>
                <w:sz w:val="18"/>
              </w:rPr>
              <w:t>¿Qué valor le damos a la evaluación formativa en la implementación curricular?</w:t>
            </w:r>
          </w:p>
        </w:tc>
      </w:tr>
    </w:tbl>
    <w:p w14:paraId="43A0062D" w14:textId="37835956" w:rsidR="00E67C36" w:rsidRDefault="008502FB" w:rsidP="00E67C36">
      <w:r>
        <w:rPr>
          <w:noProof/>
          <w:lang w:val="es-CL" w:eastAsia="es-CL"/>
        </w:rPr>
        <w:drawing>
          <wp:anchor distT="0" distB="0" distL="114300" distR="114300" simplePos="0" relativeHeight="251694080" behindDoc="0" locked="0" layoutInCell="1" allowOverlap="1" wp14:anchorId="45070664" wp14:editId="398D157A">
            <wp:simplePos x="0" y="0"/>
            <wp:positionH relativeFrom="margin">
              <wp:posOffset>0</wp:posOffset>
            </wp:positionH>
            <wp:positionV relativeFrom="paragraph">
              <wp:posOffset>189230</wp:posOffset>
            </wp:positionV>
            <wp:extent cx="5621655" cy="17081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21655" cy="170815"/>
                    </a:xfrm>
                    <a:prstGeom prst="rect">
                      <a:avLst/>
                    </a:prstGeom>
                  </pic:spPr>
                </pic:pic>
              </a:graphicData>
            </a:graphic>
            <wp14:sizeRelH relativeFrom="margin">
              <wp14:pctWidth>0</wp14:pctWidth>
            </wp14:sizeRelH>
            <wp14:sizeRelV relativeFrom="margin">
              <wp14:pctHeight>0</wp14:pctHeight>
            </wp14:sizeRelV>
          </wp:anchor>
        </w:drawing>
      </w:r>
    </w:p>
    <w:p w14:paraId="6D19B5C6" w14:textId="51148D21" w:rsidR="00E67C36" w:rsidRDefault="00E67C36" w:rsidP="00E67C36"/>
    <w:p w14:paraId="0E5F6D6F" w14:textId="6F66A0BB" w:rsidR="00E67C36" w:rsidRDefault="00E67C36" w:rsidP="00E67C36">
      <w:pPr>
        <w:rPr>
          <w:rFonts w:ascii="Times New Roman" w:eastAsia="Times New Roman" w:hAnsi="Times New Roman" w:cs="Times New Roman"/>
        </w:rPr>
      </w:pPr>
    </w:p>
    <w:p w14:paraId="3A5A7EF6" w14:textId="0F571B7A" w:rsidR="00B73D8F" w:rsidRDefault="00B73D8F" w:rsidP="00E67C36">
      <w:pPr>
        <w:rPr>
          <w:rFonts w:ascii="Times New Roman" w:eastAsia="Times New Roman" w:hAnsi="Times New Roman" w:cs="Times New Roman"/>
        </w:rPr>
      </w:pPr>
    </w:p>
    <w:p w14:paraId="3CC57484" w14:textId="4AC70F19" w:rsidR="00B73D8F" w:rsidRDefault="00B73D8F" w:rsidP="00E67C36">
      <w:pPr>
        <w:rPr>
          <w:rFonts w:ascii="Times New Roman" w:eastAsia="Times New Roman" w:hAnsi="Times New Roman" w:cs="Times New Roman"/>
        </w:rPr>
      </w:pPr>
    </w:p>
    <w:p w14:paraId="55F7012B" w14:textId="4EA1709C" w:rsidR="00B73D8F" w:rsidRDefault="00B73D8F" w:rsidP="00E67C36">
      <w:pPr>
        <w:rPr>
          <w:rFonts w:ascii="Times New Roman" w:eastAsia="Times New Roman" w:hAnsi="Times New Roman" w:cs="Times New Roman"/>
        </w:rPr>
      </w:pPr>
    </w:p>
    <w:p w14:paraId="7FF4BE30" w14:textId="6C77C7A4" w:rsidR="00B73D8F" w:rsidRDefault="00B73D8F" w:rsidP="00E67C36">
      <w:pPr>
        <w:rPr>
          <w:rFonts w:ascii="Times New Roman" w:eastAsia="Times New Roman" w:hAnsi="Times New Roman" w:cs="Times New Roman"/>
        </w:rPr>
      </w:pPr>
    </w:p>
    <w:p w14:paraId="6B312308" w14:textId="4D298CE0" w:rsidR="00B73D8F" w:rsidRDefault="00B73D8F" w:rsidP="00E67C36">
      <w:pPr>
        <w:rPr>
          <w:rFonts w:ascii="Times New Roman" w:eastAsia="Times New Roman" w:hAnsi="Times New Roman" w:cs="Times New Roman"/>
        </w:rPr>
      </w:pPr>
    </w:p>
    <w:p w14:paraId="174590C9" w14:textId="72C136C2" w:rsidR="00B73D8F" w:rsidRDefault="00B73D8F" w:rsidP="00E67C36">
      <w:pPr>
        <w:rPr>
          <w:rFonts w:ascii="Times New Roman" w:eastAsia="Times New Roman" w:hAnsi="Times New Roman" w:cs="Times New Roman"/>
        </w:rPr>
      </w:pPr>
    </w:p>
    <w:p w14:paraId="11B4DAFD" w14:textId="075BF22D" w:rsidR="00B73D8F" w:rsidRDefault="00B73D8F" w:rsidP="00E67C36">
      <w:pPr>
        <w:rPr>
          <w:rFonts w:ascii="Times New Roman" w:eastAsia="Times New Roman" w:hAnsi="Times New Roman" w:cs="Times New Roman"/>
        </w:rPr>
      </w:pPr>
    </w:p>
    <w:p w14:paraId="7DF60294" w14:textId="52DFF4C4" w:rsidR="00E67C36" w:rsidRDefault="00CF63B1" w:rsidP="00E67C36">
      <w:pPr>
        <w:rPr>
          <w:rFonts w:ascii="Times New Roman" w:eastAsia="Times New Roman" w:hAnsi="Times New Roman" w:cs="Times New Roman"/>
        </w:rPr>
      </w:pPr>
      <w:r w:rsidRPr="009E16DB">
        <w:rPr>
          <w:rFonts w:ascii="Calibri" w:hAnsi="Calibri"/>
          <w:b/>
          <w:bCs/>
          <w:noProof/>
          <w:color w:val="404040" w:themeColor="text1" w:themeTint="BF"/>
          <w:lang w:val="es-CL" w:eastAsia="es-CL"/>
        </w:rPr>
        <w:drawing>
          <wp:anchor distT="0" distB="0" distL="114300" distR="114300" simplePos="0" relativeHeight="251688960" behindDoc="1" locked="0" layoutInCell="1" allowOverlap="1" wp14:anchorId="74B233FD" wp14:editId="1F13B66F">
            <wp:simplePos x="0" y="0"/>
            <wp:positionH relativeFrom="column">
              <wp:posOffset>-308610</wp:posOffset>
            </wp:positionH>
            <wp:positionV relativeFrom="paragraph">
              <wp:posOffset>246933</wp:posOffset>
            </wp:positionV>
            <wp:extent cx="6085205" cy="182245"/>
            <wp:effectExtent l="0" t="0" r="1079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085205" cy="182245"/>
                    </a:xfrm>
                    <a:prstGeom prst="rect">
                      <a:avLst/>
                    </a:prstGeom>
                  </pic:spPr>
                </pic:pic>
              </a:graphicData>
            </a:graphic>
            <wp14:sizeRelH relativeFrom="page">
              <wp14:pctWidth>0</wp14:pctWidth>
            </wp14:sizeRelH>
            <wp14:sizeRelV relativeFrom="page">
              <wp14:pctHeight>0</wp14:pctHeight>
            </wp14:sizeRelV>
          </wp:anchor>
        </w:drawing>
      </w:r>
    </w:p>
    <w:p w14:paraId="4FCF49B4" w14:textId="60485B35" w:rsidR="00D6360A" w:rsidRDefault="00D6360A" w:rsidP="00E67C36">
      <w:pPr>
        <w:rPr>
          <w:rFonts w:ascii="Times New Roman" w:eastAsia="Times New Roman" w:hAnsi="Times New Roman" w:cs="Times New Roman"/>
        </w:rPr>
      </w:pPr>
    </w:p>
    <w:p w14:paraId="61CDDE00" w14:textId="6BA1311E" w:rsidR="00E67C36" w:rsidRDefault="00E67C36" w:rsidP="00E67C36">
      <w:pPr>
        <w:rPr>
          <w:rFonts w:ascii="Times New Roman" w:eastAsia="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E67C36" w:rsidRPr="00E20B2A" w14:paraId="4756DE21" w14:textId="77777777" w:rsidTr="004A4D57">
        <w:tc>
          <w:tcPr>
            <w:tcW w:w="8828" w:type="dxa"/>
            <w:shd w:val="clear" w:color="auto" w:fill="F2F7FC"/>
          </w:tcPr>
          <w:p w14:paraId="31CA981E" w14:textId="59B54191" w:rsidR="00E67C36" w:rsidRPr="00376EDB" w:rsidRDefault="00376EDB" w:rsidP="00376EDB">
            <w:pPr>
              <w:pStyle w:val="Sinespaciado"/>
              <w:spacing w:before="40" w:after="40"/>
              <w:rPr>
                <w:rFonts w:cstheme="minorHAnsi"/>
                <w:b/>
                <w:color w:val="404040" w:themeColor="text1" w:themeTint="BF"/>
                <w:sz w:val="21"/>
                <w:szCs w:val="21"/>
              </w:rPr>
            </w:pPr>
            <w:r w:rsidRPr="00376EDB">
              <w:rPr>
                <w:rFonts w:cstheme="minorHAnsi"/>
                <w:b/>
                <w:color w:val="404040" w:themeColor="text1" w:themeTint="BF"/>
                <w:sz w:val="21"/>
                <w:szCs w:val="21"/>
              </w:rPr>
              <w:t>TEXTO 4. PLAN DE ASEGURAMIENTO DE LA CALIDAD ESCOLAR 2016-2019</w:t>
            </w:r>
          </w:p>
          <w:p w14:paraId="443A82E0" w14:textId="087A064C" w:rsidR="00E67C36" w:rsidRPr="00376EDB" w:rsidRDefault="00376EDB" w:rsidP="00376EDB">
            <w:pPr>
              <w:pStyle w:val="Pa6"/>
              <w:spacing w:before="40" w:after="40" w:line="240" w:lineRule="auto"/>
              <w:jc w:val="both"/>
              <w:rPr>
                <w:rFonts w:asciiTheme="minorHAnsi" w:hAnsiTheme="minorHAnsi" w:cstheme="minorHAnsi"/>
                <w:color w:val="404040" w:themeColor="text1" w:themeTint="BF"/>
                <w:sz w:val="21"/>
                <w:szCs w:val="21"/>
              </w:rPr>
            </w:pPr>
            <w:r w:rsidRPr="00376EDB">
              <w:rPr>
                <w:rStyle w:val="A14"/>
                <w:rFonts w:asciiTheme="minorHAnsi" w:hAnsiTheme="minorHAnsi" w:cstheme="minorHAnsi"/>
                <w:color w:val="404040" w:themeColor="text1" w:themeTint="BF"/>
                <w:sz w:val="21"/>
                <w:szCs w:val="21"/>
              </w:rPr>
              <w:t xml:space="preserve">NIVEL DE ESTABLECIMIENTOS EDUCACIONALES: </w:t>
            </w:r>
          </w:p>
          <w:p w14:paraId="13BBAC43" w14:textId="77777777" w:rsidR="00E67C36" w:rsidRPr="00376EDB" w:rsidRDefault="00E67C36" w:rsidP="003A658D">
            <w:pPr>
              <w:spacing w:before="120" w:after="120"/>
              <w:jc w:val="both"/>
              <w:rPr>
                <w:rStyle w:val="A9"/>
                <w:rFonts w:ascii="gobCL" w:hAnsi="gobCL" w:cstheme="minorHAnsi"/>
                <w:color w:val="404040" w:themeColor="text1" w:themeTint="BF"/>
                <w:sz w:val="18"/>
                <w:szCs w:val="22"/>
              </w:rPr>
            </w:pPr>
            <w:r w:rsidRPr="00376EDB">
              <w:rPr>
                <w:rStyle w:val="A9"/>
                <w:rFonts w:cstheme="minorHAnsi"/>
                <w:color w:val="404040" w:themeColor="text1" w:themeTint="BF"/>
                <w:sz w:val="18"/>
                <w:szCs w:val="22"/>
              </w:rPr>
              <w:t>“Las escuelas, colegios y liceos son comunidades educativas lideradas por un director y un Equipo Directivo y donde participan docentes, asistentes de la educación, estudiantes, madres, padres y apoderados, entre otros agentes. Estos actores escolares son los primeros responsables de los pro</w:t>
            </w:r>
            <w:r w:rsidRPr="00376EDB">
              <w:rPr>
                <w:rStyle w:val="A9"/>
                <w:rFonts w:cstheme="minorHAnsi"/>
                <w:color w:val="404040" w:themeColor="text1" w:themeTint="BF"/>
                <w:sz w:val="18"/>
                <w:szCs w:val="22"/>
              </w:rPr>
              <w:softHyphen/>
              <w:t>cesos educativos y de mejoramiento que ocurren en el sistema escolar y su misión primordial es educar integralmente a sus estudiantes. Los esta</w:t>
            </w:r>
            <w:r w:rsidRPr="00376EDB">
              <w:rPr>
                <w:rStyle w:val="A9"/>
                <w:rFonts w:cstheme="minorHAnsi"/>
                <w:color w:val="404040" w:themeColor="text1" w:themeTint="BF"/>
                <w:sz w:val="18"/>
                <w:szCs w:val="22"/>
              </w:rPr>
              <w:softHyphen/>
              <w:t xml:space="preserve">blecimientos cuentan con un </w:t>
            </w:r>
            <w:r w:rsidRPr="00376EDB">
              <w:rPr>
                <w:rStyle w:val="A9"/>
                <w:rFonts w:cstheme="minorHAnsi"/>
                <w:b/>
                <w:color w:val="404040" w:themeColor="text1" w:themeTint="BF"/>
                <w:sz w:val="18"/>
                <w:szCs w:val="22"/>
              </w:rPr>
              <w:t>Proyecto Educativo Institucional</w:t>
            </w:r>
            <w:r w:rsidRPr="00376EDB">
              <w:rPr>
                <w:rStyle w:val="A9"/>
                <w:rFonts w:cstheme="minorHAnsi"/>
                <w:color w:val="404040" w:themeColor="text1" w:themeTint="BF"/>
                <w:sz w:val="18"/>
                <w:szCs w:val="22"/>
              </w:rPr>
              <w:t xml:space="preserve"> que expresa sus principales sellos educativos y particularidades, y un </w:t>
            </w:r>
            <w:r w:rsidRPr="00376EDB">
              <w:rPr>
                <w:rStyle w:val="A9"/>
                <w:rFonts w:cstheme="minorHAnsi"/>
                <w:b/>
                <w:color w:val="404040" w:themeColor="text1" w:themeTint="BF"/>
                <w:sz w:val="18"/>
                <w:szCs w:val="22"/>
              </w:rPr>
              <w:t>Plan de Mejora</w:t>
            </w:r>
            <w:r w:rsidRPr="00376EDB">
              <w:rPr>
                <w:rStyle w:val="A9"/>
                <w:rFonts w:cstheme="minorHAnsi"/>
                <w:b/>
                <w:color w:val="404040" w:themeColor="text1" w:themeTint="BF"/>
                <w:sz w:val="18"/>
                <w:szCs w:val="22"/>
              </w:rPr>
              <w:softHyphen/>
              <w:t>miento Educativo</w:t>
            </w:r>
            <w:r w:rsidRPr="00376EDB">
              <w:rPr>
                <w:rStyle w:val="A9"/>
                <w:rFonts w:cstheme="minorHAnsi"/>
                <w:color w:val="404040" w:themeColor="text1" w:themeTint="BF"/>
                <w:sz w:val="18"/>
                <w:szCs w:val="22"/>
              </w:rPr>
              <w:t xml:space="preserve"> que propone objetivos y metas, articulando mecanismos y acciones específicas para el mejoramiento de los procesos y resultados educativos.</w:t>
            </w:r>
          </w:p>
          <w:p w14:paraId="21CC347F" w14:textId="77777777" w:rsidR="00E67C36" w:rsidRPr="00376EDB" w:rsidRDefault="00E67C36" w:rsidP="003A658D">
            <w:pPr>
              <w:pStyle w:val="Pa8"/>
              <w:spacing w:before="120" w:after="120" w:line="240" w:lineRule="auto"/>
              <w:jc w:val="both"/>
              <w:rPr>
                <w:rFonts w:asciiTheme="minorHAnsi" w:hAnsiTheme="minorHAnsi" w:cstheme="minorHAnsi"/>
                <w:color w:val="404040" w:themeColor="text1" w:themeTint="BF"/>
                <w:sz w:val="18"/>
                <w:szCs w:val="22"/>
              </w:rPr>
            </w:pPr>
            <w:r w:rsidRPr="00376EDB">
              <w:rPr>
                <w:rStyle w:val="A9"/>
                <w:rFonts w:asciiTheme="minorHAnsi" w:hAnsiTheme="minorHAnsi" w:cstheme="minorHAnsi"/>
                <w:color w:val="404040" w:themeColor="text1" w:themeTint="BF"/>
                <w:sz w:val="18"/>
                <w:szCs w:val="22"/>
              </w:rPr>
              <w:t>Para el funcionamiento de los establecimientos escolares es necesario el desarrollo de un conjunto de procesos de gestión y mejoramiento continuo. Para orientar y apoyar ese trabajo, el sistema educacional cuenta con una serie de definiciones, herramientas e instrumentos. En primer lugar, se dispo</w:t>
            </w:r>
            <w:r w:rsidRPr="00376EDB">
              <w:rPr>
                <w:rStyle w:val="A9"/>
                <w:rFonts w:asciiTheme="minorHAnsi" w:hAnsiTheme="minorHAnsi" w:cstheme="minorHAnsi"/>
                <w:color w:val="404040" w:themeColor="text1" w:themeTint="BF"/>
                <w:sz w:val="18"/>
                <w:szCs w:val="22"/>
              </w:rPr>
              <w:softHyphen/>
              <w:t xml:space="preserve">ne de las </w:t>
            </w:r>
            <w:r w:rsidRPr="00376EDB">
              <w:rPr>
                <w:rStyle w:val="A9"/>
                <w:rFonts w:asciiTheme="minorHAnsi" w:hAnsiTheme="minorHAnsi" w:cstheme="minorHAnsi"/>
                <w:b/>
                <w:color w:val="404040" w:themeColor="text1" w:themeTint="BF"/>
                <w:sz w:val="18"/>
                <w:szCs w:val="22"/>
              </w:rPr>
              <w:t>Bases Curriculares</w:t>
            </w:r>
            <w:r w:rsidRPr="00376EDB">
              <w:rPr>
                <w:rStyle w:val="A9"/>
                <w:rFonts w:asciiTheme="minorHAnsi" w:hAnsiTheme="minorHAnsi" w:cstheme="minorHAnsi"/>
                <w:color w:val="404040" w:themeColor="text1" w:themeTint="BF"/>
                <w:sz w:val="18"/>
                <w:szCs w:val="22"/>
              </w:rPr>
              <w:t>, que establecen los distintos tipos de aprendiza</w:t>
            </w:r>
            <w:r w:rsidRPr="00376EDB">
              <w:rPr>
                <w:rStyle w:val="A9"/>
                <w:rFonts w:asciiTheme="minorHAnsi" w:hAnsiTheme="minorHAnsi" w:cstheme="minorHAnsi"/>
                <w:color w:val="404040" w:themeColor="text1" w:themeTint="BF"/>
                <w:sz w:val="18"/>
                <w:szCs w:val="22"/>
              </w:rPr>
              <w:softHyphen/>
              <w:t>jes que los estudiantes deben desarrollar para alcanzar los objetivos gene</w:t>
            </w:r>
            <w:r w:rsidRPr="00376EDB">
              <w:rPr>
                <w:rStyle w:val="A9"/>
                <w:rFonts w:asciiTheme="minorHAnsi" w:hAnsiTheme="minorHAnsi" w:cstheme="minorHAnsi"/>
                <w:color w:val="404040" w:themeColor="text1" w:themeTint="BF"/>
                <w:sz w:val="18"/>
                <w:szCs w:val="22"/>
              </w:rPr>
              <w:softHyphen/>
              <w:t xml:space="preserve">rales de la educación definidos en la Ley General de Educación. En segundo lugar, los </w:t>
            </w:r>
            <w:r w:rsidRPr="00376EDB">
              <w:rPr>
                <w:rStyle w:val="A9"/>
                <w:rFonts w:asciiTheme="minorHAnsi" w:hAnsiTheme="minorHAnsi" w:cstheme="minorHAnsi"/>
                <w:b/>
                <w:color w:val="404040" w:themeColor="text1" w:themeTint="BF"/>
                <w:sz w:val="18"/>
                <w:szCs w:val="22"/>
              </w:rPr>
              <w:t>Estándares de Aprendizaje</w:t>
            </w:r>
            <w:r w:rsidRPr="00376EDB">
              <w:rPr>
                <w:rStyle w:val="A9"/>
                <w:rFonts w:asciiTheme="minorHAnsi" w:hAnsiTheme="minorHAnsi" w:cstheme="minorHAnsi"/>
                <w:color w:val="404040" w:themeColor="text1" w:themeTint="BF"/>
                <w:sz w:val="18"/>
                <w:szCs w:val="22"/>
              </w:rPr>
              <w:t xml:space="preserve"> describen distintos niveles en el logro de los objetivos de aprendizaje monitoreados por las evaluaciones nacionales. </w:t>
            </w:r>
          </w:p>
          <w:p w14:paraId="3206C1C8" w14:textId="77777777" w:rsidR="00E67C36" w:rsidRPr="00376EDB" w:rsidRDefault="00E67C36" w:rsidP="003A658D">
            <w:pPr>
              <w:pStyle w:val="Pa8"/>
              <w:spacing w:before="120" w:after="120" w:line="240" w:lineRule="auto"/>
              <w:jc w:val="both"/>
              <w:rPr>
                <w:rFonts w:asciiTheme="minorHAnsi" w:hAnsiTheme="minorHAnsi" w:cstheme="minorHAnsi"/>
                <w:color w:val="404040" w:themeColor="text1" w:themeTint="BF"/>
                <w:sz w:val="18"/>
                <w:szCs w:val="22"/>
              </w:rPr>
            </w:pPr>
            <w:r w:rsidRPr="00376EDB">
              <w:rPr>
                <w:rStyle w:val="A9"/>
                <w:rFonts w:asciiTheme="minorHAnsi" w:hAnsiTheme="minorHAnsi" w:cstheme="minorHAnsi"/>
                <w:color w:val="404040" w:themeColor="text1" w:themeTint="BF"/>
                <w:sz w:val="18"/>
                <w:szCs w:val="22"/>
              </w:rPr>
              <w:t>Asumiendo un concepto amplio de calidad educacional, el sistema también ha elaborado otros indicadores de calidad educativa, que constituyen un se</w:t>
            </w:r>
            <w:r w:rsidRPr="00376EDB">
              <w:rPr>
                <w:rStyle w:val="A9"/>
                <w:rFonts w:asciiTheme="minorHAnsi" w:hAnsiTheme="minorHAnsi" w:cstheme="minorHAnsi"/>
                <w:color w:val="404040" w:themeColor="text1" w:themeTint="BF"/>
                <w:sz w:val="18"/>
                <w:szCs w:val="22"/>
              </w:rPr>
              <w:softHyphen/>
              <w:t xml:space="preserve">gundo componente de relevancia para orientar el trabajo educativo de los establecimientos y que consisten en un conjunto de variables que entregan </w:t>
            </w:r>
            <w:r w:rsidRPr="00376EDB">
              <w:rPr>
                <w:rStyle w:val="A9"/>
                <w:rFonts w:asciiTheme="minorHAnsi" w:hAnsiTheme="minorHAnsi" w:cstheme="minorHAnsi"/>
                <w:b/>
                <w:color w:val="404040" w:themeColor="text1" w:themeTint="BF"/>
                <w:sz w:val="18"/>
                <w:szCs w:val="22"/>
              </w:rPr>
              <w:t>información relacionada con</w:t>
            </w:r>
            <w:r w:rsidRPr="00376EDB">
              <w:rPr>
                <w:rStyle w:val="A9"/>
                <w:rFonts w:asciiTheme="minorHAnsi" w:hAnsiTheme="minorHAnsi" w:cstheme="minorHAnsi"/>
                <w:color w:val="404040" w:themeColor="text1" w:themeTint="BF"/>
                <w:sz w:val="18"/>
                <w:szCs w:val="22"/>
              </w:rPr>
              <w:t xml:space="preserve"> </w:t>
            </w:r>
            <w:r w:rsidRPr="00376EDB">
              <w:rPr>
                <w:rStyle w:val="A9"/>
                <w:rFonts w:asciiTheme="minorHAnsi" w:hAnsiTheme="minorHAnsi" w:cstheme="minorHAnsi"/>
                <w:b/>
                <w:color w:val="404040" w:themeColor="text1" w:themeTint="BF"/>
                <w:sz w:val="18"/>
                <w:szCs w:val="22"/>
              </w:rPr>
              <w:t>el desarrollo personal y social de los estudian</w:t>
            </w:r>
            <w:r w:rsidRPr="00376EDB">
              <w:rPr>
                <w:rStyle w:val="A9"/>
                <w:rFonts w:asciiTheme="minorHAnsi" w:hAnsiTheme="minorHAnsi" w:cstheme="minorHAnsi"/>
                <w:b/>
                <w:color w:val="404040" w:themeColor="text1" w:themeTint="BF"/>
                <w:sz w:val="18"/>
                <w:szCs w:val="22"/>
              </w:rPr>
              <w:softHyphen/>
              <w:t>tes</w:t>
            </w:r>
            <w:r w:rsidRPr="00376EDB">
              <w:rPr>
                <w:rStyle w:val="A9"/>
                <w:rFonts w:asciiTheme="minorHAnsi" w:hAnsiTheme="minorHAnsi" w:cstheme="minorHAnsi"/>
                <w:color w:val="404040" w:themeColor="text1" w:themeTint="BF"/>
                <w:sz w:val="18"/>
                <w:szCs w:val="22"/>
              </w:rPr>
              <w:t xml:space="preserve"> y con </w:t>
            </w:r>
            <w:r w:rsidRPr="00376EDB">
              <w:rPr>
                <w:rStyle w:val="A9"/>
                <w:rFonts w:asciiTheme="minorHAnsi" w:hAnsiTheme="minorHAnsi" w:cstheme="minorHAnsi"/>
                <w:b/>
                <w:color w:val="404040" w:themeColor="text1" w:themeTint="BF"/>
                <w:sz w:val="18"/>
                <w:szCs w:val="22"/>
              </w:rPr>
              <w:t>indicadores de asistencia y retención escolar</w:t>
            </w:r>
            <w:r w:rsidRPr="00376EDB">
              <w:rPr>
                <w:rStyle w:val="A9"/>
                <w:rFonts w:asciiTheme="minorHAnsi" w:hAnsiTheme="minorHAnsi" w:cstheme="minorHAnsi"/>
                <w:color w:val="404040" w:themeColor="text1" w:themeTint="BF"/>
                <w:sz w:val="18"/>
                <w:szCs w:val="22"/>
              </w:rPr>
              <w:t xml:space="preserve">, entre otros, que son complementarios a la información proporcionada por los </w:t>
            </w:r>
            <w:r w:rsidRPr="00376EDB">
              <w:rPr>
                <w:rStyle w:val="A9"/>
                <w:rFonts w:asciiTheme="minorHAnsi" w:hAnsiTheme="minorHAnsi" w:cstheme="minorHAnsi"/>
                <w:b/>
                <w:color w:val="404040" w:themeColor="text1" w:themeTint="BF"/>
                <w:sz w:val="18"/>
                <w:szCs w:val="22"/>
              </w:rPr>
              <w:t>resultados SIMCE</w:t>
            </w:r>
            <w:r w:rsidRPr="00376EDB">
              <w:rPr>
                <w:rStyle w:val="A9"/>
                <w:rFonts w:asciiTheme="minorHAnsi" w:hAnsiTheme="minorHAnsi" w:cstheme="minorHAnsi"/>
                <w:color w:val="404040" w:themeColor="text1" w:themeTint="BF"/>
                <w:sz w:val="18"/>
                <w:szCs w:val="22"/>
              </w:rPr>
              <w:t xml:space="preserve"> y los </w:t>
            </w:r>
            <w:r w:rsidRPr="00376EDB">
              <w:rPr>
                <w:rStyle w:val="A9"/>
                <w:rFonts w:asciiTheme="minorHAnsi" w:hAnsiTheme="minorHAnsi" w:cstheme="minorHAnsi"/>
                <w:b/>
                <w:color w:val="404040" w:themeColor="text1" w:themeTint="BF"/>
                <w:sz w:val="18"/>
                <w:szCs w:val="22"/>
              </w:rPr>
              <w:t>Estándares de Aprendizaje</w:t>
            </w:r>
            <w:r w:rsidRPr="00376EDB">
              <w:rPr>
                <w:rStyle w:val="A9"/>
                <w:rFonts w:asciiTheme="minorHAnsi" w:hAnsiTheme="minorHAnsi" w:cstheme="minorHAnsi"/>
                <w:color w:val="404040" w:themeColor="text1" w:themeTint="BF"/>
                <w:sz w:val="18"/>
                <w:szCs w:val="22"/>
              </w:rPr>
              <w:t xml:space="preserve">. </w:t>
            </w:r>
          </w:p>
          <w:p w14:paraId="4844E0BC" w14:textId="77777777" w:rsidR="00E67C36" w:rsidRPr="00376EDB" w:rsidRDefault="00E67C36" w:rsidP="003A658D">
            <w:pPr>
              <w:pStyle w:val="Pa8"/>
              <w:spacing w:before="120" w:after="120" w:line="240" w:lineRule="auto"/>
              <w:jc w:val="both"/>
              <w:rPr>
                <w:rFonts w:asciiTheme="minorHAnsi" w:hAnsiTheme="minorHAnsi" w:cstheme="minorHAnsi"/>
                <w:color w:val="404040" w:themeColor="text1" w:themeTint="BF"/>
                <w:sz w:val="18"/>
                <w:szCs w:val="22"/>
              </w:rPr>
            </w:pPr>
            <w:r w:rsidRPr="00376EDB">
              <w:rPr>
                <w:rStyle w:val="A9"/>
                <w:rFonts w:asciiTheme="minorHAnsi" w:hAnsiTheme="minorHAnsi" w:cstheme="minorHAnsi"/>
                <w:color w:val="404040" w:themeColor="text1" w:themeTint="BF"/>
                <w:sz w:val="18"/>
                <w:szCs w:val="22"/>
              </w:rPr>
              <w:t xml:space="preserve">En cuarto lugar, se han desarrollado </w:t>
            </w:r>
            <w:r w:rsidRPr="00376EDB">
              <w:rPr>
                <w:rStyle w:val="A9"/>
                <w:rFonts w:asciiTheme="minorHAnsi" w:hAnsiTheme="minorHAnsi" w:cstheme="minorHAnsi"/>
                <w:b/>
                <w:color w:val="404040" w:themeColor="text1" w:themeTint="BF"/>
                <w:sz w:val="18"/>
                <w:szCs w:val="22"/>
              </w:rPr>
              <w:t>Estándares Indicativos de Desempeño</w:t>
            </w:r>
            <w:r w:rsidRPr="00376EDB">
              <w:rPr>
                <w:rStyle w:val="A9"/>
                <w:rFonts w:asciiTheme="minorHAnsi" w:hAnsiTheme="minorHAnsi" w:cstheme="minorHAnsi"/>
                <w:color w:val="404040" w:themeColor="text1" w:themeTint="BF"/>
                <w:sz w:val="18"/>
                <w:szCs w:val="22"/>
              </w:rPr>
              <w:t>, que establecen un marco de referencia para la evaluación de los procesos de los establecimientos educacionales, con el propósito de impulsar los pro</w:t>
            </w:r>
            <w:r w:rsidRPr="00376EDB">
              <w:rPr>
                <w:rStyle w:val="A9"/>
                <w:rFonts w:asciiTheme="minorHAnsi" w:hAnsiTheme="minorHAnsi" w:cstheme="minorHAnsi"/>
                <w:color w:val="404040" w:themeColor="text1" w:themeTint="BF"/>
                <w:sz w:val="18"/>
                <w:szCs w:val="22"/>
              </w:rPr>
              <w:softHyphen/>
              <w:t>cesos de autoevaluación y mejoramiento escolar en las áreas de liderazgo, gestión pedagógica, formación y convivencia y gestión de recursos. Estos estándares son el marco de referencia para las visitas de evaluación y orien</w:t>
            </w:r>
            <w:r w:rsidRPr="00376EDB">
              <w:rPr>
                <w:rStyle w:val="A9"/>
                <w:rFonts w:asciiTheme="minorHAnsi" w:hAnsiTheme="minorHAnsi" w:cstheme="minorHAnsi"/>
                <w:color w:val="404040" w:themeColor="text1" w:themeTint="BF"/>
                <w:sz w:val="18"/>
                <w:szCs w:val="22"/>
              </w:rPr>
              <w:softHyphen/>
              <w:t xml:space="preserve">tación que realiza la Agencia de Calidad de la Educación a escuelas, liceos y colegios. </w:t>
            </w:r>
          </w:p>
          <w:p w14:paraId="156E664A" w14:textId="77777777" w:rsidR="00E67C36" w:rsidRPr="00E20B2A" w:rsidRDefault="00E67C36" w:rsidP="003A658D">
            <w:pPr>
              <w:spacing w:before="120" w:after="120"/>
              <w:jc w:val="both"/>
              <w:rPr>
                <w:rFonts w:cstheme="minorHAnsi"/>
                <w:color w:val="FF0000"/>
              </w:rPr>
            </w:pPr>
            <w:r w:rsidRPr="00376EDB">
              <w:rPr>
                <w:rStyle w:val="A9"/>
                <w:rFonts w:cstheme="minorHAnsi"/>
                <w:color w:val="404040" w:themeColor="text1" w:themeTint="BF"/>
                <w:sz w:val="18"/>
                <w:szCs w:val="22"/>
              </w:rPr>
              <w:t xml:space="preserve">Asimismo, el </w:t>
            </w:r>
            <w:r w:rsidRPr="00376EDB">
              <w:rPr>
                <w:rStyle w:val="A9"/>
                <w:rFonts w:cstheme="minorHAnsi"/>
                <w:b/>
                <w:color w:val="404040" w:themeColor="text1" w:themeTint="BF"/>
                <w:sz w:val="18"/>
                <w:szCs w:val="22"/>
              </w:rPr>
              <w:t>Marco para la Buena Dirección y el Liderazgo Escolar</w:t>
            </w:r>
            <w:r w:rsidRPr="00376EDB">
              <w:rPr>
                <w:rStyle w:val="A9"/>
                <w:rFonts w:cstheme="minorHAnsi"/>
                <w:color w:val="404040" w:themeColor="text1" w:themeTint="BF"/>
                <w:sz w:val="18"/>
                <w:szCs w:val="22"/>
              </w:rPr>
              <w:t xml:space="preserve"> y el </w:t>
            </w:r>
            <w:r w:rsidRPr="00376EDB">
              <w:rPr>
                <w:rStyle w:val="A9"/>
                <w:rFonts w:cstheme="minorHAnsi"/>
                <w:b/>
                <w:color w:val="404040" w:themeColor="text1" w:themeTint="BF"/>
                <w:sz w:val="18"/>
                <w:szCs w:val="22"/>
              </w:rPr>
              <w:t>Marco de la Buena Enseñanza</w:t>
            </w:r>
            <w:r w:rsidRPr="00376EDB">
              <w:rPr>
                <w:rStyle w:val="A9"/>
                <w:rFonts w:cstheme="minorHAnsi"/>
                <w:color w:val="404040" w:themeColor="text1" w:themeTint="BF"/>
                <w:sz w:val="18"/>
                <w:szCs w:val="22"/>
              </w:rPr>
              <w:t xml:space="preserve"> orientan en la misma dirección, en el sentido de en</w:t>
            </w:r>
            <w:r w:rsidRPr="00376EDB">
              <w:rPr>
                <w:rStyle w:val="A9"/>
                <w:rFonts w:cstheme="minorHAnsi"/>
                <w:color w:val="404040" w:themeColor="text1" w:themeTint="BF"/>
                <w:sz w:val="18"/>
                <w:szCs w:val="22"/>
              </w:rPr>
              <w:softHyphen/>
              <w:t>tregar un marco de referencia y describir prácticas concretas para un buen ejercicio, tanto de la gestión de los equipos directivos como de los docentes en los establecimientos escolares” (MINEDUC, 2016b, pp.17-18).</w:t>
            </w:r>
          </w:p>
        </w:tc>
      </w:tr>
      <w:tr w:rsidR="00E67C36" w:rsidRPr="00E20B2A" w14:paraId="35AF7503" w14:textId="77777777" w:rsidTr="004A4D57">
        <w:tc>
          <w:tcPr>
            <w:tcW w:w="8828" w:type="dxa"/>
            <w:shd w:val="clear" w:color="auto" w:fill="DEEAF6" w:themeFill="accent5" w:themeFillTint="33"/>
          </w:tcPr>
          <w:p w14:paraId="6A946922" w14:textId="12D190CC" w:rsidR="00E67C36" w:rsidRPr="00376EDB" w:rsidRDefault="00E67C36" w:rsidP="00376EDB">
            <w:pPr>
              <w:spacing w:before="120"/>
              <w:jc w:val="center"/>
              <w:rPr>
                <w:rFonts w:cstheme="minorHAnsi"/>
                <w:i/>
                <w:color w:val="404040" w:themeColor="text1" w:themeTint="BF"/>
                <w:sz w:val="18"/>
              </w:rPr>
            </w:pPr>
            <w:r w:rsidRPr="00376EDB">
              <w:rPr>
                <w:rFonts w:cstheme="minorHAnsi"/>
                <w:i/>
                <w:color w:val="404040" w:themeColor="text1" w:themeTint="BF"/>
                <w:sz w:val="18"/>
              </w:rPr>
              <w:t>Para activar conocimientos o experiencias previas:</w:t>
            </w:r>
          </w:p>
          <w:p w14:paraId="5A9232B0" w14:textId="77777777" w:rsidR="00E67C36" w:rsidRPr="00E20B2A" w:rsidRDefault="00E67C36" w:rsidP="00376EDB">
            <w:pPr>
              <w:spacing w:after="120"/>
              <w:jc w:val="center"/>
              <w:rPr>
                <w:rFonts w:cstheme="minorHAnsi"/>
                <w:i/>
                <w:color w:val="FF0000"/>
              </w:rPr>
            </w:pPr>
            <w:r w:rsidRPr="00376EDB">
              <w:rPr>
                <w:rFonts w:cstheme="minorHAnsi"/>
                <w:i/>
                <w:color w:val="404040" w:themeColor="text1" w:themeTint="BF"/>
                <w:sz w:val="18"/>
              </w:rPr>
              <w:t>¿Hemos articulado los instrumentos y herramientas expuestos en el texto, en nuestra unidad educativa? ¿Cómo?</w:t>
            </w:r>
          </w:p>
        </w:tc>
      </w:tr>
    </w:tbl>
    <w:p w14:paraId="6DA6738D" w14:textId="4A72B30A" w:rsidR="0072409A" w:rsidRPr="00333EC7" w:rsidRDefault="008502FB" w:rsidP="00333EC7">
      <w:pPr>
        <w:ind w:left="-709"/>
        <w:rPr>
          <w:rFonts w:ascii="Calibri" w:hAnsi="Calibri"/>
          <w:b/>
          <w:bCs/>
          <w:color w:val="404040" w:themeColor="text1" w:themeTint="BF"/>
        </w:rPr>
      </w:pPr>
      <w:r>
        <w:rPr>
          <w:noProof/>
          <w:lang w:val="es-CL" w:eastAsia="es-CL"/>
        </w:rPr>
        <w:drawing>
          <wp:anchor distT="0" distB="0" distL="114300" distR="114300" simplePos="0" relativeHeight="251696128" behindDoc="0" locked="0" layoutInCell="1" allowOverlap="1" wp14:anchorId="2D4B70A8" wp14:editId="422DB7B2">
            <wp:simplePos x="0" y="0"/>
            <wp:positionH relativeFrom="margin">
              <wp:posOffset>0</wp:posOffset>
            </wp:positionH>
            <wp:positionV relativeFrom="paragraph">
              <wp:posOffset>177800</wp:posOffset>
            </wp:positionV>
            <wp:extent cx="5621655" cy="170815"/>
            <wp:effectExtent l="0" t="0" r="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21655" cy="170815"/>
                    </a:xfrm>
                    <a:prstGeom prst="rect">
                      <a:avLst/>
                    </a:prstGeom>
                  </pic:spPr>
                </pic:pic>
              </a:graphicData>
            </a:graphic>
            <wp14:sizeRelH relativeFrom="margin">
              <wp14:pctWidth>0</wp14:pctWidth>
            </wp14:sizeRelH>
            <wp14:sizeRelV relativeFrom="margin">
              <wp14:pctHeight>0</wp14:pctHeight>
            </wp14:sizeRelV>
          </wp:anchor>
        </w:drawing>
      </w:r>
    </w:p>
    <w:p w14:paraId="2DDA3A44" w14:textId="32C10086" w:rsidR="001E32A2" w:rsidRDefault="001E32A2" w:rsidP="00350B1F">
      <w:pPr>
        <w:ind w:left="-709"/>
        <w:rPr>
          <w:rFonts w:ascii="Calibri" w:hAnsi="Calibri"/>
          <w:b/>
          <w:bCs/>
          <w:color w:val="404040" w:themeColor="text1" w:themeTint="BF"/>
        </w:rPr>
      </w:pPr>
    </w:p>
    <w:p w14:paraId="03A3F273" w14:textId="2AE02C45" w:rsidR="00635F13" w:rsidRDefault="00635F13" w:rsidP="00635F13">
      <w:pPr>
        <w:rPr>
          <w:rFonts w:ascii="Calibri" w:hAnsi="Calibri"/>
          <w:b/>
          <w:bCs/>
          <w:color w:val="404040" w:themeColor="text1" w:themeTint="BF"/>
        </w:rPr>
      </w:pPr>
    </w:p>
    <w:p w14:paraId="0CACAAB8" w14:textId="77777777" w:rsidR="00376EDB" w:rsidRDefault="00376EDB" w:rsidP="00635F13">
      <w:pPr>
        <w:rPr>
          <w:rFonts w:ascii="Calibri" w:hAnsi="Calibri"/>
          <w:b/>
          <w:bCs/>
          <w:color w:val="404040" w:themeColor="text1" w:themeTint="BF"/>
        </w:rPr>
      </w:pPr>
    </w:p>
    <w:p w14:paraId="571E08B1" w14:textId="77777777" w:rsidR="00376EDB" w:rsidRDefault="00376EDB" w:rsidP="00635F13">
      <w:pPr>
        <w:rPr>
          <w:rFonts w:ascii="Calibri" w:hAnsi="Calibri"/>
          <w:b/>
          <w:bCs/>
          <w:color w:val="404040" w:themeColor="text1" w:themeTint="BF"/>
        </w:rPr>
      </w:pPr>
    </w:p>
    <w:p w14:paraId="44570637" w14:textId="77777777" w:rsidR="00376EDB" w:rsidRDefault="00376EDB" w:rsidP="00635F13">
      <w:pPr>
        <w:rPr>
          <w:rFonts w:ascii="Calibri" w:hAnsi="Calibri"/>
          <w:b/>
          <w:bCs/>
          <w:color w:val="404040" w:themeColor="text1" w:themeTint="BF"/>
        </w:rPr>
      </w:pPr>
      <w:bookmarkStart w:id="0" w:name="_GoBack"/>
      <w:bookmarkEnd w:id="0"/>
    </w:p>
    <w:p w14:paraId="59964C7D" w14:textId="4E0E51B4" w:rsidR="00376EDB" w:rsidRPr="000E2707" w:rsidRDefault="00D6360A" w:rsidP="00635F13">
      <w:pPr>
        <w:rPr>
          <w:rFonts w:ascii="Calibri" w:hAnsi="Calibri"/>
          <w:b/>
          <w:bCs/>
          <w:color w:val="404040" w:themeColor="text1" w:themeTint="BF"/>
        </w:rPr>
      </w:pPr>
      <w:r w:rsidRPr="009E16DB">
        <w:rPr>
          <w:rFonts w:ascii="Calibri" w:hAnsi="Calibri"/>
          <w:b/>
          <w:bCs/>
          <w:noProof/>
          <w:color w:val="404040" w:themeColor="text1" w:themeTint="BF"/>
          <w:lang w:val="es-CL" w:eastAsia="es-CL"/>
        </w:rPr>
        <w:drawing>
          <wp:anchor distT="0" distB="0" distL="114300" distR="114300" simplePos="0" relativeHeight="251684864" behindDoc="1" locked="0" layoutInCell="1" allowOverlap="1" wp14:anchorId="574132D7" wp14:editId="55A47576">
            <wp:simplePos x="0" y="0"/>
            <wp:positionH relativeFrom="column">
              <wp:posOffset>-307975</wp:posOffset>
            </wp:positionH>
            <wp:positionV relativeFrom="paragraph">
              <wp:posOffset>272518518</wp:posOffset>
            </wp:positionV>
            <wp:extent cx="6085205" cy="182245"/>
            <wp:effectExtent l="0" t="0" r="1079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085205" cy="182245"/>
                    </a:xfrm>
                    <a:prstGeom prst="rect">
                      <a:avLst/>
                    </a:prstGeom>
                  </pic:spPr>
                </pic:pic>
              </a:graphicData>
            </a:graphic>
            <wp14:sizeRelH relativeFrom="page">
              <wp14:pctWidth>0</wp14:pctWidth>
            </wp14:sizeRelH>
            <wp14:sizeRelV relativeFrom="page">
              <wp14:pctHeight>0</wp14:pctHeight>
            </wp14:sizeRelV>
          </wp:anchor>
        </w:drawing>
      </w:r>
    </w:p>
    <w:sectPr w:rsidR="00376EDB" w:rsidRPr="000E2707" w:rsidSect="00B73D8F">
      <w:pgSz w:w="12240" w:h="15840"/>
      <w:pgMar w:top="3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bCL">
    <w:altName w:val="Times New Roman"/>
    <w:charset w:val="00"/>
    <w:family w:val="auto"/>
    <w:pitch w:val="variable"/>
    <w:sig w:usb0="00000001" w:usb1="4000005B" w:usb2="00000000" w:usb3="00000000" w:csb0="00000111" w:csb1="00000000"/>
  </w:font>
  <w:font w:name="gobCL Light">
    <w:charset w:val="00"/>
    <w:family w:val="auto"/>
    <w:pitch w:val="variable"/>
    <w:sig w:usb0="00000003" w:usb1="00000000" w:usb2="00000000" w:usb3="00000000" w:csb0="00000111" w:csb1="00000000"/>
  </w:font>
  <w:font w:name="Roboto">
    <w:altName w:val="Times New Roman"/>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2E36"/>
    <w:multiLevelType w:val="hybridMultilevel"/>
    <w:tmpl w:val="EECE1A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1F7EB9"/>
    <w:multiLevelType w:val="hybridMultilevel"/>
    <w:tmpl w:val="966AD16E"/>
    <w:lvl w:ilvl="0" w:tplc="74401A76">
      <w:start w:val="1"/>
      <w:numFmt w:val="decimal"/>
      <w:lvlText w:val="%1."/>
      <w:lvlJc w:val="left"/>
      <w:pPr>
        <w:ind w:left="434"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E8222FF"/>
    <w:multiLevelType w:val="hybridMultilevel"/>
    <w:tmpl w:val="8FF648C4"/>
    <w:lvl w:ilvl="0" w:tplc="74401A76">
      <w:start w:val="1"/>
      <w:numFmt w:val="decimal"/>
      <w:lvlText w:val="%1."/>
      <w:lvlJc w:val="left"/>
      <w:pPr>
        <w:ind w:left="508" w:hanging="360"/>
      </w:pPr>
      <w:rPr>
        <w:rFonts w:hint="default"/>
      </w:rPr>
    </w:lvl>
    <w:lvl w:ilvl="1" w:tplc="040A0019" w:tentative="1">
      <w:start w:val="1"/>
      <w:numFmt w:val="lowerLetter"/>
      <w:lvlText w:val="%2."/>
      <w:lvlJc w:val="left"/>
      <w:pPr>
        <w:ind w:left="1514" w:hanging="360"/>
      </w:pPr>
    </w:lvl>
    <w:lvl w:ilvl="2" w:tplc="040A001B" w:tentative="1">
      <w:start w:val="1"/>
      <w:numFmt w:val="lowerRoman"/>
      <w:lvlText w:val="%3."/>
      <w:lvlJc w:val="right"/>
      <w:pPr>
        <w:ind w:left="2234" w:hanging="180"/>
      </w:pPr>
    </w:lvl>
    <w:lvl w:ilvl="3" w:tplc="040A000F" w:tentative="1">
      <w:start w:val="1"/>
      <w:numFmt w:val="decimal"/>
      <w:lvlText w:val="%4."/>
      <w:lvlJc w:val="left"/>
      <w:pPr>
        <w:ind w:left="2954" w:hanging="360"/>
      </w:pPr>
    </w:lvl>
    <w:lvl w:ilvl="4" w:tplc="040A0019" w:tentative="1">
      <w:start w:val="1"/>
      <w:numFmt w:val="lowerLetter"/>
      <w:lvlText w:val="%5."/>
      <w:lvlJc w:val="left"/>
      <w:pPr>
        <w:ind w:left="3674" w:hanging="360"/>
      </w:pPr>
    </w:lvl>
    <w:lvl w:ilvl="5" w:tplc="040A001B" w:tentative="1">
      <w:start w:val="1"/>
      <w:numFmt w:val="lowerRoman"/>
      <w:lvlText w:val="%6."/>
      <w:lvlJc w:val="right"/>
      <w:pPr>
        <w:ind w:left="4394" w:hanging="180"/>
      </w:pPr>
    </w:lvl>
    <w:lvl w:ilvl="6" w:tplc="040A000F" w:tentative="1">
      <w:start w:val="1"/>
      <w:numFmt w:val="decimal"/>
      <w:lvlText w:val="%7."/>
      <w:lvlJc w:val="left"/>
      <w:pPr>
        <w:ind w:left="5114" w:hanging="360"/>
      </w:pPr>
    </w:lvl>
    <w:lvl w:ilvl="7" w:tplc="040A0019" w:tentative="1">
      <w:start w:val="1"/>
      <w:numFmt w:val="lowerLetter"/>
      <w:lvlText w:val="%8."/>
      <w:lvlJc w:val="left"/>
      <w:pPr>
        <w:ind w:left="5834" w:hanging="360"/>
      </w:pPr>
    </w:lvl>
    <w:lvl w:ilvl="8" w:tplc="040A001B" w:tentative="1">
      <w:start w:val="1"/>
      <w:numFmt w:val="lowerRoman"/>
      <w:lvlText w:val="%9."/>
      <w:lvlJc w:val="right"/>
      <w:pPr>
        <w:ind w:left="6554" w:hanging="180"/>
      </w:pPr>
    </w:lvl>
  </w:abstractNum>
  <w:abstractNum w:abstractNumId="3" w15:restartNumberingAfterBreak="0">
    <w:nsid w:val="2C5B6B79"/>
    <w:multiLevelType w:val="hybridMultilevel"/>
    <w:tmpl w:val="99FE0BC8"/>
    <w:lvl w:ilvl="0" w:tplc="74401A76">
      <w:start w:val="1"/>
      <w:numFmt w:val="decimal"/>
      <w:lvlText w:val="%1."/>
      <w:lvlJc w:val="left"/>
      <w:pPr>
        <w:ind w:left="434"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D0B29B5"/>
    <w:multiLevelType w:val="hybridMultilevel"/>
    <w:tmpl w:val="A4FE22A2"/>
    <w:lvl w:ilvl="0" w:tplc="74401A76">
      <w:start w:val="1"/>
      <w:numFmt w:val="decimal"/>
      <w:lvlText w:val="%1."/>
      <w:lvlJc w:val="left"/>
      <w:pPr>
        <w:ind w:left="794"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31C91E48"/>
    <w:multiLevelType w:val="hybridMultilevel"/>
    <w:tmpl w:val="CF02F7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F50163E"/>
    <w:multiLevelType w:val="hybridMultilevel"/>
    <w:tmpl w:val="A532DC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60B0D54"/>
    <w:multiLevelType w:val="hybridMultilevel"/>
    <w:tmpl w:val="9BA6B6AC"/>
    <w:lvl w:ilvl="0" w:tplc="74401A76">
      <w:start w:val="1"/>
      <w:numFmt w:val="decimal"/>
      <w:lvlText w:val="%1."/>
      <w:lvlJc w:val="left"/>
      <w:pPr>
        <w:ind w:left="434" w:hanging="360"/>
      </w:pPr>
      <w:rPr>
        <w:rFonts w:hint="default"/>
      </w:rPr>
    </w:lvl>
    <w:lvl w:ilvl="1" w:tplc="040A0019" w:tentative="1">
      <w:start w:val="1"/>
      <w:numFmt w:val="lowerLetter"/>
      <w:lvlText w:val="%2."/>
      <w:lvlJc w:val="left"/>
      <w:pPr>
        <w:ind w:left="1154" w:hanging="360"/>
      </w:pPr>
    </w:lvl>
    <w:lvl w:ilvl="2" w:tplc="040A001B" w:tentative="1">
      <w:start w:val="1"/>
      <w:numFmt w:val="lowerRoman"/>
      <w:lvlText w:val="%3."/>
      <w:lvlJc w:val="right"/>
      <w:pPr>
        <w:ind w:left="1874" w:hanging="180"/>
      </w:pPr>
    </w:lvl>
    <w:lvl w:ilvl="3" w:tplc="040A000F" w:tentative="1">
      <w:start w:val="1"/>
      <w:numFmt w:val="decimal"/>
      <w:lvlText w:val="%4."/>
      <w:lvlJc w:val="left"/>
      <w:pPr>
        <w:ind w:left="2594" w:hanging="360"/>
      </w:pPr>
    </w:lvl>
    <w:lvl w:ilvl="4" w:tplc="040A0019" w:tentative="1">
      <w:start w:val="1"/>
      <w:numFmt w:val="lowerLetter"/>
      <w:lvlText w:val="%5."/>
      <w:lvlJc w:val="left"/>
      <w:pPr>
        <w:ind w:left="3314" w:hanging="360"/>
      </w:pPr>
    </w:lvl>
    <w:lvl w:ilvl="5" w:tplc="040A001B" w:tentative="1">
      <w:start w:val="1"/>
      <w:numFmt w:val="lowerRoman"/>
      <w:lvlText w:val="%6."/>
      <w:lvlJc w:val="right"/>
      <w:pPr>
        <w:ind w:left="4034" w:hanging="180"/>
      </w:pPr>
    </w:lvl>
    <w:lvl w:ilvl="6" w:tplc="040A000F" w:tentative="1">
      <w:start w:val="1"/>
      <w:numFmt w:val="decimal"/>
      <w:lvlText w:val="%7."/>
      <w:lvlJc w:val="left"/>
      <w:pPr>
        <w:ind w:left="4754" w:hanging="360"/>
      </w:pPr>
    </w:lvl>
    <w:lvl w:ilvl="7" w:tplc="040A0019" w:tentative="1">
      <w:start w:val="1"/>
      <w:numFmt w:val="lowerLetter"/>
      <w:lvlText w:val="%8."/>
      <w:lvlJc w:val="left"/>
      <w:pPr>
        <w:ind w:left="5474" w:hanging="360"/>
      </w:pPr>
    </w:lvl>
    <w:lvl w:ilvl="8" w:tplc="040A001B" w:tentative="1">
      <w:start w:val="1"/>
      <w:numFmt w:val="lowerRoman"/>
      <w:lvlText w:val="%9."/>
      <w:lvlJc w:val="right"/>
      <w:pPr>
        <w:ind w:left="6194" w:hanging="180"/>
      </w:pPr>
    </w:lvl>
  </w:abstractNum>
  <w:abstractNum w:abstractNumId="8" w15:restartNumberingAfterBreak="0">
    <w:nsid w:val="6DD55379"/>
    <w:multiLevelType w:val="hybridMultilevel"/>
    <w:tmpl w:val="2BC0B2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8C4483C"/>
    <w:multiLevelType w:val="multilevel"/>
    <w:tmpl w:val="C33A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D74D97"/>
    <w:multiLevelType w:val="hybridMultilevel"/>
    <w:tmpl w:val="A102532A"/>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7"/>
  </w:num>
  <w:num w:numId="6">
    <w:abstractNumId w:val="3"/>
  </w:num>
  <w:num w:numId="7">
    <w:abstractNumId w:val="2"/>
  </w:num>
  <w:num w:numId="8">
    <w:abstractNumId w:val="4"/>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5A"/>
    <w:rsid w:val="000414BC"/>
    <w:rsid w:val="00063007"/>
    <w:rsid w:val="000C38C6"/>
    <w:rsid w:val="000E1959"/>
    <w:rsid w:val="000E2707"/>
    <w:rsid w:val="00157DBC"/>
    <w:rsid w:val="00175B71"/>
    <w:rsid w:val="00193A42"/>
    <w:rsid w:val="001A7DA3"/>
    <w:rsid w:val="001E32A2"/>
    <w:rsid w:val="001F017F"/>
    <w:rsid w:val="00261AAC"/>
    <w:rsid w:val="002C14F7"/>
    <w:rsid w:val="00332DA7"/>
    <w:rsid w:val="00333EC7"/>
    <w:rsid w:val="00347BBA"/>
    <w:rsid w:val="00350B1F"/>
    <w:rsid w:val="00376EDB"/>
    <w:rsid w:val="00391432"/>
    <w:rsid w:val="003A2CD6"/>
    <w:rsid w:val="004A4D57"/>
    <w:rsid w:val="004B4DF3"/>
    <w:rsid w:val="005B27EC"/>
    <w:rsid w:val="00612B2B"/>
    <w:rsid w:val="00635F13"/>
    <w:rsid w:val="006D77DD"/>
    <w:rsid w:val="00703AD7"/>
    <w:rsid w:val="0072409A"/>
    <w:rsid w:val="0079738D"/>
    <w:rsid w:val="00797A0D"/>
    <w:rsid w:val="007A2B0A"/>
    <w:rsid w:val="007C1FBE"/>
    <w:rsid w:val="007F125A"/>
    <w:rsid w:val="008502FB"/>
    <w:rsid w:val="008B367E"/>
    <w:rsid w:val="008F71CB"/>
    <w:rsid w:val="009251C0"/>
    <w:rsid w:val="009267D4"/>
    <w:rsid w:val="009852AA"/>
    <w:rsid w:val="009923C2"/>
    <w:rsid w:val="009E16DB"/>
    <w:rsid w:val="00A43102"/>
    <w:rsid w:val="00A557F1"/>
    <w:rsid w:val="00A73FC4"/>
    <w:rsid w:val="00B223C6"/>
    <w:rsid w:val="00B22402"/>
    <w:rsid w:val="00B255FE"/>
    <w:rsid w:val="00B73D8F"/>
    <w:rsid w:val="00BD07F8"/>
    <w:rsid w:val="00C654C1"/>
    <w:rsid w:val="00C85560"/>
    <w:rsid w:val="00CE2FB2"/>
    <w:rsid w:val="00CF63B1"/>
    <w:rsid w:val="00D40A3E"/>
    <w:rsid w:val="00D62648"/>
    <w:rsid w:val="00D6360A"/>
    <w:rsid w:val="00DD0044"/>
    <w:rsid w:val="00E00C8B"/>
    <w:rsid w:val="00E246E8"/>
    <w:rsid w:val="00E67C36"/>
    <w:rsid w:val="00EA0DF2"/>
    <w:rsid w:val="00EA4BFE"/>
    <w:rsid w:val="00EB394F"/>
    <w:rsid w:val="00EF2BA0"/>
    <w:rsid w:val="00FC1C63"/>
    <w:rsid w:val="00FC3A76"/>
    <w:rsid w:val="00FE333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3C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67C36"/>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73FC4"/>
    <w:rPr>
      <w:rFonts w:ascii="gobCL" w:hAnsi="gobCL" w:cs="Times New Roman"/>
      <w:color w:val="00B89F"/>
      <w:lang w:eastAsia="es-ES_tradnl"/>
    </w:rPr>
  </w:style>
  <w:style w:type="paragraph" w:customStyle="1" w:styleId="p2">
    <w:name w:val="p2"/>
    <w:basedOn w:val="Normal"/>
    <w:rsid w:val="00A73FC4"/>
    <w:rPr>
      <w:rFonts w:ascii="gobCL" w:hAnsi="gobCL" w:cs="Times New Roman"/>
      <w:color w:val="00B89F"/>
      <w:lang w:eastAsia="es-ES_tradnl"/>
    </w:rPr>
  </w:style>
  <w:style w:type="paragraph" w:customStyle="1" w:styleId="p3">
    <w:name w:val="p3"/>
    <w:basedOn w:val="Normal"/>
    <w:rsid w:val="00A73FC4"/>
    <w:pPr>
      <w:spacing w:line="213" w:lineRule="atLeast"/>
      <w:jc w:val="both"/>
    </w:pPr>
    <w:rPr>
      <w:rFonts w:ascii="gobCL Light" w:hAnsi="gobCL Light" w:cs="Times New Roman"/>
      <w:sz w:val="17"/>
      <w:szCs w:val="17"/>
      <w:lang w:eastAsia="es-ES_tradnl"/>
    </w:rPr>
  </w:style>
  <w:style w:type="paragraph" w:customStyle="1" w:styleId="p4">
    <w:name w:val="p4"/>
    <w:basedOn w:val="Normal"/>
    <w:rsid w:val="00A73FC4"/>
    <w:pPr>
      <w:spacing w:line="213" w:lineRule="atLeast"/>
      <w:jc w:val="both"/>
    </w:pPr>
    <w:rPr>
      <w:rFonts w:ascii="gobCL Light" w:hAnsi="gobCL Light" w:cs="Times New Roman"/>
      <w:sz w:val="17"/>
      <w:szCs w:val="17"/>
      <w:lang w:eastAsia="es-ES_tradnl"/>
    </w:rPr>
  </w:style>
  <w:style w:type="character" w:customStyle="1" w:styleId="s1">
    <w:name w:val="s1"/>
    <w:basedOn w:val="Fuentedeprrafopredeter"/>
    <w:rsid w:val="00A73FC4"/>
    <w:rPr>
      <w:rFonts w:ascii="gobCL" w:hAnsi="gobCL" w:hint="default"/>
      <w:color w:val="00B89F"/>
      <w:sz w:val="17"/>
      <w:szCs w:val="17"/>
    </w:rPr>
  </w:style>
  <w:style w:type="character" w:customStyle="1" w:styleId="s2">
    <w:name w:val="s2"/>
    <w:basedOn w:val="Fuentedeprrafopredeter"/>
    <w:rsid w:val="00A73FC4"/>
    <w:rPr>
      <w:rFonts w:ascii="gobCL" w:hAnsi="gobCL" w:hint="default"/>
      <w:color w:val="0090AB"/>
      <w:sz w:val="17"/>
      <w:szCs w:val="17"/>
    </w:rPr>
  </w:style>
  <w:style w:type="character" w:customStyle="1" w:styleId="apple-converted-space">
    <w:name w:val="apple-converted-space"/>
    <w:basedOn w:val="Fuentedeprrafopredeter"/>
    <w:rsid w:val="00A73FC4"/>
  </w:style>
  <w:style w:type="paragraph" w:styleId="Prrafodelista">
    <w:name w:val="List Paragraph"/>
    <w:basedOn w:val="Normal"/>
    <w:link w:val="PrrafodelistaCar"/>
    <w:uiPriority w:val="34"/>
    <w:qFormat/>
    <w:rsid w:val="0072409A"/>
    <w:pPr>
      <w:spacing w:after="160" w:line="259" w:lineRule="auto"/>
      <w:ind w:left="720"/>
      <w:contextualSpacing/>
    </w:pPr>
    <w:rPr>
      <w:sz w:val="22"/>
      <w:szCs w:val="22"/>
      <w:lang w:val="es-CL"/>
    </w:rPr>
  </w:style>
  <w:style w:type="character" w:customStyle="1" w:styleId="Prrafoenlista">
    <w:name w:val="Párrafo en lista"/>
    <w:uiPriority w:val="1"/>
    <w:qFormat/>
    <w:rsid w:val="0072409A"/>
    <w:rPr>
      <w:rFonts w:ascii="Roboto" w:hAnsi="Roboto"/>
      <w:b/>
    </w:rPr>
  </w:style>
  <w:style w:type="table" w:customStyle="1" w:styleId="Tablanormal11">
    <w:name w:val="Tabla normal 11"/>
    <w:basedOn w:val="Tablanormal"/>
    <w:uiPriority w:val="41"/>
    <w:rsid w:val="0072409A"/>
    <w:rPr>
      <w:sz w:val="22"/>
      <w:szCs w:val="22"/>
      <w:lang w:val="es-C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E67C36"/>
    <w:rPr>
      <w:rFonts w:asciiTheme="majorHAnsi" w:eastAsiaTheme="majorEastAsia" w:hAnsiTheme="majorHAnsi" w:cstheme="majorBidi"/>
      <w:color w:val="2F5496" w:themeColor="accent1" w:themeShade="BF"/>
      <w:sz w:val="32"/>
      <w:szCs w:val="32"/>
      <w:lang w:val="es-CL"/>
    </w:rPr>
  </w:style>
  <w:style w:type="paragraph" w:styleId="Sinespaciado">
    <w:name w:val="No Spacing"/>
    <w:uiPriority w:val="1"/>
    <w:qFormat/>
    <w:rsid w:val="00E67C36"/>
    <w:rPr>
      <w:sz w:val="22"/>
      <w:szCs w:val="22"/>
      <w:lang w:val="es-CL"/>
    </w:rPr>
  </w:style>
  <w:style w:type="paragraph" w:customStyle="1" w:styleId="Pa13">
    <w:name w:val="Pa13"/>
    <w:basedOn w:val="Normal"/>
    <w:next w:val="Normal"/>
    <w:uiPriority w:val="99"/>
    <w:rsid w:val="00E67C36"/>
    <w:pPr>
      <w:autoSpaceDE w:val="0"/>
      <w:autoSpaceDN w:val="0"/>
      <w:adjustRightInd w:val="0"/>
      <w:spacing w:line="201" w:lineRule="atLeast"/>
    </w:pPr>
    <w:rPr>
      <w:rFonts w:ascii="gobCL" w:hAnsi="gobCL"/>
      <w:lang w:val="es-CL"/>
    </w:rPr>
  </w:style>
  <w:style w:type="character" w:customStyle="1" w:styleId="A3">
    <w:name w:val="A3"/>
    <w:uiPriority w:val="99"/>
    <w:rsid w:val="00E67C36"/>
    <w:rPr>
      <w:rFonts w:cs="gobCL"/>
      <w:color w:val="000000"/>
      <w:sz w:val="22"/>
      <w:szCs w:val="22"/>
    </w:rPr>
  </w:style>
  <w:style w:type="paragraph" w:customStyle="1" w:styleId="Pa31">
    <w:name w:val="Pa31"/>
    <w:basedOn w:val="Normal"/>
    <w:next w:val="Normal"/>
    <w:uiPriority w:val="99"/>
    <w:rsid w:val="00E67C36"/>
    <w:pPr>
      <w:autoSpaceDE w:val="0"/>
      <w:autoSpaceDN w:val="0"/>
      <w:adjustRightInd w:val="0"/>
      <w:spacing w:line="221" w:lineRule="atLeast"/>
    </w:pPr>
    <w:rPr>
      <w:rFonts w:ascii="gobCL" w:hAnsi="gobCL"/>
      <w:lang w:val="es-CL"/>
    </w:rPr>
  </w:style>
  <w:style w:type="paragraph" w:customStyle="1" w:styleId="Pa6">
    <w:name w:val="Pa6"/>
    <w:basedOn w:val="Normal"/>
    <w:next w:val="Normal"/>
    <w:uiPriority w:val="99"/>
    <w:rsid w:val="00E67C36"/>
    <w:pPr>
      <w:autoSpaceDE w:val="0"/>
      <w:autoSpaceDN w:val="0"/>
      <w:adjustRightInd w:val="0"/>
      <w:spacing w:line="241" w:lineRule="atLeast"/>
    </w:pPr>
    <w:rPr>
      <w:rFonts w:ascii="gobCL" w:hAnsi="gobCL"/>
      <w:lang w:val="es-CL"/>
    </w:rPr>
  </w:style>
  <w:style w:type="character" w:customStyle="1" w:styleId="A14">
    <w:name w:val="A14"/>
    <w:uiPriority w:val="99"/>
    <w:rsid w:val="00E67C36"/>
    <w:rPr>
      <w:rFonts w:cs="gobCL"/>
      <w:b/>
      <w:bCs/>
      <w:color w:val="000000"/>
      <w:sz w:val="22"/>
      <w:szCs w:val="22"/>
    </w:rPr>
  </w:style>
  <w:style w:type="character" w:customStyle="1" w:styleId="A9">
    <w:name w:val="A9"/>
    <w:uiPriority w:val="99"/>
    <w:rsid w:val="00E67C36"/>
    <w:rPr>
      <w:rFonts w:cs="gobCL"/>
      <w:color w:val="000000"/>
      <w:sz w:val="20"/>
      <w:szCs w:val="20"/>
    </w:rPr>
  </w:style>
  <w:style w:type="paragraph" w:customStyle="1" w:styleId="Pa8">
    <w:name w:val="Pa8"/>
    <w:basedOn w:val="Normal"/>
    <w:next w:val="Normal"/>
    <w:uiPriority w:val="99"/>
    <w:rsid w:val="00E67C36"/>
    <w:pPr>
      <w:autoSpaceDE w:val="0"/>
      <w:autoSpaceDN w:val="0"/>
      <w:adjustRightInd w:val="0"/>
      <w:spacing w:line="241" w:lineRule="atLeast"/>
    </w:pPr>
    <w:rPr>
      <w:rFonts w:ascii="gobCL" w:hAnsi="gobCL"/>
      <w:lang w:val="es-CL"/>
    </w:rPr>
  </w:style>
  <w:style w:type="character" w:styleId="Refdecomentario">
    <w:name w:val="annotation reference"/>
    <w:basedOn w:val="Fuentedeprrafopredeter"/>
    <w:uiPriority w:val="99"/>
    <w:semiHidden/>
    <w:unhideWhenUsed/>
    <w:rsid w:val="00E67C36"/>
    <w:rPr>
      <w:sz w:val="16"/>
      <w:szCs w:val="16"/>
    </w:rPr>
  </w:style>
  <w:style w:type="paragraph" w:styleId="Textocomentario">
    <w:name w:val="annotation text"/>
    <w:basedOn w:val="Normal"/>
    <w:link w:val="TextocomentarioCar"/>
    <w:uiPriority w:val="99"/>
    <w:unhideWhenUsed/>
    <w:rsid w:val="00E67C36"/>
    <w:pPr>
      <w:spacing w:after="160"/>
    </w:pPr>
    <w:rPr>
      <w:sz w:val="20"/>
      <w:szCs w:val="20"/>
      <w:lang w:val="es-CL"/>
    </w:rPr>
  </w:style>
  <w:style w:type="character" w:customStyle="1" w:styleId="TextocomentarioCar">
    <w:name w:val="Texto comentario Car"/>
    <w:basedOn w:val="Fuentedeprrafopredeter"/>
    <w:link w:val="Textocomentario"/>
    <w:uiPriority w:val="99"/>
    <w:rsid w:val="00E67C36"/>
    <w:rPr>
      <w:sz w:val="20"/>
      <w:szCs w:val="20"/>
      <w:lang w:val="es-CL"/>
    </w:rPr>
  </w:style>
  <w:style w:type="character" w:customStyle="1" w:styleId="PrrafodelistaCar">
    <w:name w:val="Párrafo de lista Car"/>
    <w:basedOn w:val="Fuentedeprrafopredeter"/>
    <w:link w:val="Prrafodelista"/>
    <w:uiPriority w:val="34"/>
    <w:rsid w:val="00E67C36"/>
    <w:rPr>
      <w:sz w:val="22"/>
      <w:szCs w:val="22"/>
      <w:lang w:val="es-CL"/>
    </w:rPr>
  </w:style>
  <w:style w:type="paragraph" w:styleId="Textodeglobo">
    <w:name w:val="Balloon Text"/>
    <w:basedOn w:val="Normal"/>
    <w:link w:val="TextodegloboCar"/>
    <w:uiPriority w:val="99"/>
    <w:semiHidden/>
    <w:unhideWhenUsed/>
    <w:rsid w:val="00E67C3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67C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26213">
      <w:bodyDiv w:val="1"/>
      <w:marLeft w:val="0"/>
      <w:marRight w:val="0"/>
      <w:marTop w:val="0"/>
      <w:marBottom w:val="0"/>
      <w:divBdr>
        <w:top w:val="none" w:sz="0" w:space="0" w:color="auto"/>
        <w:left w:val="none" w:sz="0" w:space="0" w:color="auto"/>
        <w:bottom w:val="none" w:sz="0" w:space="0" w:color="auto"/>
        <w:right w:val="none" w:sz="0" w:space="0" w:color="auto"/>
      </w:divBdr>
    </w:div>
    <w:div w:id="500048612">
      <w:bodyDiv w:val="1"/>
      <w:marLeft w:val="0"/>
      <w:marRight w:val="0"/>
      <w:marTop w:val="0"/>
      <w:marBottom w:val="0"/>
      <w:divBdr>
        <w:top w:val="none" w:sz="0" w:space="0" w:color="auto"/>
        <w:left w:val="none" w:sz="0" w:space="0" w:color="auto"/>
        <w:bottom w:val="none" w:sz="0" w:space="0" w:color="auto"/>
        <w:right w:val="none" w:sz="0" w:space="0" w:color="auto"/>
      </w:divBdr>
    </w:div>
    <w:div w:id="557328036">
      <w:bodyDiv w:val="1"/>
      <w:marLeft w:val="0"/>
      <w:marRight w:val="0"/>
      <w:marTop w:val="0"/>
      <w:marBottom w:val="0"/>
      <w:divBdr>
        <w:top w:val="none" w:sz="0" w:space="0" w:color="auto"/>
        <w:left w:val="none" w:sz="0" w:space="0" w:color="auto"/>
        <w:bottom w:val="none" w:sz="0" w:space="0" w:color="auto"/>
        <w:right w:val="none" w:sz="0" w:space="0" w:color="auto"/>
      </w:divBdr>
    </w:div>
    <w:div w:id="659620007">
      <w:bodyDiv w:val="1"/>
      <w:marLeft w:val="0"/>
      <w:marRight w:val="0"/>
      <w:marTop w:val="0"/>
      <w:marBottom w:val="0"/>
      <w:divBdr>
        <w:top w:val="none" w:sz="0" w:space="0" w:color="auto"/>
        <w:left w:val="none" w:sz="0" w:space="0" w:color="auto"/>
        <w:bottom w:val="none" w:sz="0" w:space="0" w:color="auto"/>
        <w:right w:val="none" w:sz="0" w:space="0" w:color="auto"/>
      </w:divBdr>
    </w:div>
    <w:div w:id="684089536">
      <w:bodyDiv w:val="1"/>
      <w:marLeft w:val="0"/>
      <w:marRight w:val="0"/>
      <w:marTop w:val="0"/>
      <w:marBottom w:val="0"/>
      <w:divBdr>
        <w:top w:val="none" w:sz="0" w:space="0" w:color="auto"/>
        <w:left w:val="none" w:sz="0" w:space="0" w:color="auto"/>
        <w:bottom w:val="none" w:sz="0" w:space="0" w:color="auto"/>
        <w:right w:val="none" w:sz="0" w:space="0" w:color="auto"/>
      </w:divBdr>
    </w:div>
    <w:div w:id="764570583">
      <w:bodyDiv w:val="1"/>
      <w:marLeft w:val="0"/>
      <w:marRight w:val="0"/>
      <w:marTop w:val="0"/>
      <w:marBottom w:val="0"/>
      <w:divBdr>
        <w:top w:val="none" w:sz="0" w:space="0" w:color="auto"/>
        <w:left w:val="none" w:sz="0" w:space="0" w:color="auto"/>
        <w:bottom w:val="none" w:sz="0" w:space="0" w:color="auto"/>
        <w:right w:val="none" w:sz="0" w:space="0" w:color="auto"/>
      </w:divBdr>
    </w:div>
    <w:div w:id="931161008">
      <w:bodyDiv w:val="1"/>
      <w:marLeft w:val="0"/>
      <w:marRight w:val="0"/>
      <w:marTop w:val="0"/>
      <w:marBottom w:val="0"/>
      <w:divBdr>
        <w:top w:val="none" w:sz="0" w:space="0" w:color="auto"/>
        <w:left w:val="none" w:sz="0" w:space="0" w:color="auto"/>
        <w:bottom w:val="none" w:sz="0" w:space="0" w:color="auto"/>
        <w:right w:val="none" w:sz="0" w:space="0" w:color="auto"/>
      </w:divBdr>
    </w:div>
    <w:div w:id="1015498136">
      <w:bodyDiv w:val="1"/>
      <w:marLeft w:val="0"/>
      <w:marRight w:val="0"/>
      <w:marTop w:val="0"/>
      <w:marBottom w:val="0"/>
      <w:divBdr>
        <w:top w:val="none" w:sz="0" w:space="0" w:color="auto"/>
        <w:left w:val="none" w:sz="0" w:space="0" w:color="auto"/>
        <w:bottom w:val="none" w:sz="0" w:space="0" w:color="auto"/>
        <w:right w:val="none" w:sz="0" w:space="0" w:color="auto"/>
      </w:divBdr>
    </w:div>
    <w:div w:id="1270888244">
      <w:bodyDiv w:val="1"/>
      <w:marLeft w:val="0"/>
      <w:marRight w:val="0"/>
      <w:marTop w:val="0"/>
      <w:marBottom w:val="0"/>
      <w:divBdr>
        <w:top w:val="none" w:sz="0" w:space="0" w:color="auto"/>
        <w:left w:val="none" w:sz="0" w:space="0" w:color="auto"/>
        <w:bottom w:val="none" w:sz="0" w:space="0" w:color="auto"/>
        <w:right w:val="none" w:sz="0" w:space="0" w:color="auto"/>
      </w:divBdr>
    </w:div>
    <w:div w:id="1508520665">
      <w:bodyDiv w:val="1"/>
      <w:marLeft w:val="0"/>
      <w:marRight w:val="0"/>
      <w:marTop w:val="0"/>
      <w:marBottom w:val="0"/>
      <w:divBdr>
        <w:top w:val="none" w:sz="0" w:space="0" w:color="auto"/>
        <w:left w:val="none" w:sz="0" w:space="0" w:color="auto"/>
        <w:bottom w:val="none" w:sz="0" w:space="0" w:color="auto"/>
        <w:right w:val="none" w:sz="0" w:space="0" w:color="auto"/>
      </w:divBdr>
    </w:div>
    <w:div w:id="1841575734">
      <w:bodyDiv w:val="1"/>
      <w:marLeft w:val="0"/>
      <w:marRight w:val="0"/>
      <w:marTop w:val="0"/>
      <w:marBottom w:val="0"/>
      <w:divBdr>
        <w:top w:val="none" w:sz="0" w:space="0" w:color="auto"/>
        <w:left w:val="none" w:sz="0" w:space="0" w:color="auto"/>
        <w:bottom w:val="none" w:sz="0" w:space="0" w:color="auto"/>
        <w:right w:val="none" w:sz="0" w:space="0" w:color="auto"/>
      </w:divBdr>
    </w:div>
    <w:div w:id="1883981784">
      <w:bodyDiv w:val="1"/>
      <w:marLeft w:val="0"/>
      <w:marRight w:val="0"/>
      <w:marTop w:val="0"/>
      <w:marBottom w:val="0"/>
      <w:divBdr>
        <w:top w:val="none" w:sz="0" w:space="0" w:color="auto"/>
        <w:left w:val="none" w:sz="0" w:space="0" w:color="auto"/>
        <w:bottom w:val="none" w:sz="0" w:space="0" w:color="auto"/>
        <w:right w:val="none" w:sz="0" w:space="0" w:color="auto"/>
      </w:divBdr>
    </w:div>
    <w:div w:id="1892575746">
      <w:bodyDiv w:val="1"/>
      <w:marLeft w:val="0"/>
      <w:marRight w:val="0"/>
      <w:marTop w:val="0"/>
      <w:marBottom w:val="0"/>
      <w:divBdr>
        <w:top w:val="none" w:sz="0" w:space="0" w:color="auto"/>
        <w:left w:val="none" w:sz="0" w:space="0" w:color="auto"/>
        <w:bottom w:val="none" w:sz="0" w:space="0" w:color="auto"/>
        <w:right w:val="none" w:sz="0" w:space="0" w:color="auto"/>
      </w:divBdr>
    </w:div>
    <w:div w:id="1910537413">
      <w:bodyDiv w:val="1"/>
      <w:marLeft w:val="0"/>
      <w:marRight w:val="0"/>
      <w:marTop w:val="0"/>
      <w:marBottom w:val="0"/>
      <w:divBdr>
        <w:top w:val="none" w:sz="0" w:space="0" w:color="auto"/>
        <w:left w:val="none" w:sz="0" w:space="0" w:color="auto"/>
        <w:bottom w:val="none" w:sz="0" w:space="0" w:color="auto"/>
        <w:right w:val="none" w:sz="0" w:space="0" w:color="auto"/>
      </w:divBdr>
    </w:div>
    <w:div w:id="2007200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Ner16</b:Tag>
    <b:SourceType>DocumentFromInternetSite</b:SourceType>
    <b:Guid>{EB26514D-B51E-4F35-ACDD-B98C4CFC7E8D}</b:Guid>
    <b:Author>
      <b:Author>
        <b:NameList>
          <b:Person>
            <b:Last>Nercellas</b:Last>
            <b:First>Mauricio</b:First>
          </b:Person>
        </b:NameList>
      </b:Author>
    </b:Author>
    <b:Title>La noción de cobertura curricular y su impacto en la visión del aprendizaje y de la evaluación</b:Title>
    <b:Year>2016</b:Year>
    <b:InternetSiteTitle>EducarChile</b:InternetSiteTitle>
    <b:Month>Diciembre</b:Month>
    <b:Day>7</b:Day>
    <b:URL>http://www.educarchile.cl/ech/pro/app/detalle?id=229013</b:URL>
    <b:RefOrder>1</b:RefOrder>
  </b:Source>
</b:Sources>
</file>

<file path=customXml/itemProps1.xml><?xml version="1.0" encoding="utf-8"?>
<ds:datastoreItem xmlns:ds="http://schemas.openxmlformats.org/officeDocument/2006/customXml" ds:itemID="{78CFF7E5-616D-4B60-8937-29CABDFA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1212</Words>
  <Characters>6671</Characters>
  <Application>Microsoft Office Word</Application>
  <DocSecurity>0</DocSecurity>
  <Lines>55</Lines>
  <Paragraphs>15</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Andrea Cabrera Villa</dc:creator>
  <cp:keywords/>
  <dc:description/>
  <cp:lastModifiedBy>Swapna Puni Estévez Singh</cp:lastModifiedBy>
  <cp:revision>19</cp:revision>
  <dcterms:created xsi:type="dcterms:W3CDTF">2018-01-13T23:47:00Z</dcterms:created>
  <dcterms:modified xsi:type="dcterms:W3CDTF">2018-04-03T16:03:00Z</dcterms:modified>
</cp:coreProperties>
</file>