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A82DC0" w14:textId="77777777" w:rsidR="00BF4823" w:rsidRDefault="00A571B4" w:rsidP="00BF4823">
      <w:pPr>
        <w:pStyle w:val="p1"/>
        <w:rPr>
          <w:rFonts w:ascii="Calibri" w:hAnsi="Calibri"/>
          <w:b/>
          <w:bCs/>
          <w:color w:val="00D8B5"/>
          <w:sz w:val="36"/>
        </w:rPr>
      </w:pPr>
      <w:r w:rsidRPr="005A508E">
        <w:rPr>
          <w:rFonts w:ascii="Calibri" w:hAnsi="Calibri"/>
          <w:b/>
          <w:bCs/>
          <w:color w:val="00D8B5"/>
          <w:sz w:val="36"/>
        </w:rPr>
        <w:t xml:space="preserve">ANEXO 4. PRINCIPIOS ORIENTADORES DE LAS ACCIONES </w:t>
      </w:r>
    </w:p>
    <w:p w14:paraId="7AB345AB" w14:textId="23F00448" w:rsidR="00F6177F" w:rsidRPr="005A508E" w:rsidRDefault="00A571B4" w:rsidP="00BF4823">
      <w:pPr>
        <w:pStyle w:val="p1"/>
        <w:ind w:left="1531"/>
        <w:rPr>
          <w:rFonts w:ascii="Calibri" w:hAnsi="Calibri"/>
          <w:b/>
          <w:bCs/>
          <w:color w:val="00D8B5"/>
          <w:sz w:val="36"/>
        </w:rPr>
      </w:pPr>
      <w:r w:rsidRPr="005A508E">
        <w:rPr>
          <w:rFonts w:ascii="Calibri" w:hAnsi="Calibri"/>
          <w:b/>
          <w:bCs/>
          <w:color w:val="00D8B5"/>
          <w:sz w:val="36"/>
        </w:rPr>
        <w:t>EDUCATIVAS INCLUSIVAS</w:t>
      </w:r>
    </w:p>
    <w:p w14:paraId="4A84B2BF" w14:textId="77777777" w:rsidR="00A571B4" w:rsidRDefault="00A571B4" w:rsidP="00A571B4">
      <w:pPr>
        <w:pStyle w:val="p1"/>
        <w:rPr>
          <w:rFonts w:ascii="Calibri" w:hAnsi="Calibri"/>
          <w:b/>
          <w:bCs/>
          <w:sz w:val="36"/>
        </w:rPr>
      </w:pPr>
    </w:p>
    <w:p w14:paraId="5FCA2C84" w14:textId="77777777" w:rsidR="00A571B4" w:rsidRPr="00A571B4" w:rsidRDefault="00A571B4" w:rsidP="00A571B4">
      <w:pPr>
        <w:spacing w:line="213" w:lineRule="atLeast"/>
        <w:jc w:val="both"/>
        <w:rPr>
          <w:rFonts w:cs="Times New Roman"/>
          <w:color w:val="404040" w:themeColor="text1" w:themeTint="BF"/>
          <w:sz w:val="18"/>
          <w:szCs w:val="17"/>
          <w:lang w:eastAsia="es-ES_tradnl"/>
        </w:rPr>
      </w:pPr>
      <w:bookmarkStart w:id="0" w:name="_GoBack"/>
      <w:r w:rsidRPr="00A571B4">
        <w:rPr>
          <w:rFonts w:cs="Times New Roman"/>
          <w:noProof/>
          <w:color w:val="404040" w:themeColor="text1" w:themeTint="BF"/>
          <w:sz w:val="17"/>
          <w:szCs w:val="17"/>
          <w:lang w:val="es-CL" w:eastAsia="es-CL"/>
        </w:rPr>
        <w:drawing>
          <wp:anchor distT="0" distB="0" distL="114300" distR="114300" simplePos="0" relativeHeight="251658240" behindDoc="0" locked="0" layoutInCell="1" allowOverlap="1" wp14:anchorId="7EA27B12" wp14:editId="6A31E091">
            <wp:simplePos x="0" y="0"/>
            <wp:positionH relativeFrom="column">
              <wp:posOffset>5715</wp:posOffset>
            </wp:positionH>
            <wp:positionV relativeFrom="paragraph">
              <wp:posOffset>6350</wp:posOffset>
            </wp:positionV>
            <wp:extent cx="2105025" cy="2038350"/>
            <wp:effectExtent l="0" t="0" r="9525" b="0"/>
            <wp:wrapTight wrapText="bothSides">
              <wp:wrapPolygon edited="0">
                <wp:start x="0" y="0"/>
                <wp:lineTo x="0" y="21398"/>
                <wp:lineTo x="21502" y="21398"/>
                <wp:lineTo x="2150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05025" cy="2038350"/>
                    </a:xfrm>
                    <a:prstGeom prst="rect">
                      <a:avLst/>
                    </a:prstGeom>
                  </pic:spPr>
                </pic:pic>
              </a:graphicData>
            </a:graphic>
            <wp14:sizeRelH relativeFrom="page">
              <wp14:pctWidth>0</wp14:pctWidth>
            </wp14:sizeRelH>
            <wp14:sizeRelV relativeFrom="page">
              <wp14:pctHeight>0</wp14:pctHeight>
            </wp14:sizeRelV>
          </wp:anchor>
        </w:drawing>
      </w:r>
      <w:bookmarkEnd w:id="0"/>
      <w:r w:rsidRPr="00A571B4">
        <w:rPr>
          <w:rFonts w:cs="Times New Roman"/>
          <w:color w:val="404040" w:themeColor="text1" w:themeTint="BF"/>
          <w:sz w:val="18"/>
          <w:szCs w:val="17"/>
          <w:lang w:eastAsia="es-ES_tradnl"/>
        </w:rPr>
        <w:t>En el marco de la Reforma, “el enfoque inclusivo reconoce y resguarda el derecho de todas las personas al acceso a la educación, el aprendizaje y a la participación en sus comunidades educativas” (Mineduc, 2016, p. 14). Si el acceso se restringe hacia cualquiera de aquellos tres ámbitos, entonces no estamos hablando de una verdadera inclusión.</w:t>
      </w:r>
      <w:r w:rsidRPr="00A571B4">
        <w:rPr>
          <w:noProof/>
          <w:color w:val="404040" w:themeColor="text1" w:themeTint="BF"/>
          <w:sz w:val="28"/>
          <w:lang w:eastAsia="es-ES_tradnl"/>
        </w:rPr>
        <w:t xml:space="preserve"> </w:t>
      </w:r>
    </w:p>
    <w:p w14:paraId="6A1AA9B4" w14:textId="77777777" w:rsidR="00A571B4" w:rsidRPr="00A571B4" w:rsidRDefault="00A571B4" w:rsidP="00A571B4">
      <w:pPr>
        <w:spacing w:line="213" w:lineRule="atLeast"/>
        <w:jc w:val="both"/>
        <w:rPr>
          <w:rFonts w:cs="Times New Roman"/>
          <w:color w:val="404040" w:themeColor="text1" w:themeTint="BF"/>
          <w:sz w:val="18"/>
          <w:szCs w:val="17"/>
          <w:lang w:eastAsia="es-ES_tradnl"/>
        </w:rPr>
      </w:pPr>
    </w:p>
    <w:p w14:paraId="1BED51DC" w14:textId="77777777" w:rsidR="00A571B4" w:rsidRPr="00A571B4" w:rsidRDefault="00A571B4" w:rsidP="00A571B4">
      <w:pPr>
        <w:spacing w:line="213" w:lineRule="atLeast"/>
        <w:jc w:val="both"/>
        <w:rPr>
          <w:rFonts w:cs="Times New Roman"/>
          <w:color w:val="404040" w:themeColor="text1" w:themeTint="BF"/>
          <w:sz w:val="18"/>
          <w:szCs w:val="17"/>
          <w:lang w:eastAsia="es-ES_tradnl"/>
        </w:rPr>
      </w:pPr>
      <w:r w:rsidRPr="00A571B4">
        <w:rPr>
          <w:rFonts w:cs="Times New Roman"/>
          <w:color w:val="404040" w:themeColor="text1" w:themeTint="BF"/>
          <w:sz w:val="18"/>
          <w:szCs w:val="17"/>
          <w:lang w:eastAsia="es-ES_tradnl"/>
        </w:rPr>
        <w:t>Los criterios para la incorporación del enfoque inclusivo en el trabajo educativo son de utilidad para revisar estrategias pedagógicas que hacen un esfuerzo de flexibilidad y cambio. Esta flexibilidad implica el reconocimiento de la heterogeneidad de cada comunidad educativa, donde el enfoque no apunta a relevar carencias o vulnerabilidades, sino que “valora la riqueza inherente a la diversidad de las personas y, por lo tanto, invita a observar e incorporar las potencialidades e intereses de los y las estudiantes como información fundamental para el diseño de la respuesta educativa” (Mineduc, 2016, p. 14).</w:t>
      </w:r>
    </w:p>
    <w:p w14:paraId="7A6A14DF" w14:textId="77777777" w:rsidR="00A571B4" w:rsidRPr="00A571B4" w:rsidRDefault="00A571B4" w:rsidP="00A571B4">
      <w:pPr>
        <w:spacing w:line="213" w:lineRule="atLeast"/>
        <w:jc w:val="both"/>
        <w:rPr>
          <w:rFonts w:cs="Times New Roman"/>
          <w:color w:val="404040" w:themeColor="text1" w:themeTint="BF"/>
          <w:sz w:val="18"/>
          <w:szCs w:val="17"/>
          <w:lang w:eastAsia="es-ES_tradnl"/>
        </w:rPr>
      </w:pPr>
    </w:p>
    <w:p w14:paraId="52AFB8CE" w14:textId="77777777" w:rsidR="00A571B4" w:rsidRDefault="00A571B4" w:rsidP="00A571B4">
      <w:pPr>
        <w:spacing w:line="213" w:lineRule="atLeast"/>
        <w:jc w:val="both"/>
        <w:rPr>
          <w:rFonts w:cs="Times New Roman"/>
          <w:color w:val="404040" w:themeColor="text1" w:themeTint="BF"/>
          <w:sz w:val="18"/>
          <w:szCs w:val="17"/>
          <w:lang w:eastAsia="es-ES_tradnl"/>
        </w:rPr>
      </w:pPr>
      <w:r w:rsidRPr="00A571B4">
        <w:rPr>
          <w:rFonts w:cs="Times New Roman"/>
          <w:color w:val="404040" w:themeColor="text1" w:themeTint="BF"/>
          <w:sz w:val="18"/>
          <w:szCs w:val="17"/>
          <w:lang w:eastAsia="es-ES_tradnl"/>
        </w:rPr>
        <w:t>Para avanzar en el camino hacia la inclusión, el Mineduc propone tres principios orientadores que toda acción educativa e institucional debiese compartir, para finalmente lograr el propósito de que todos y todas aprendan. Estos principios se desarrollan en mayor profundidad en las Orientaciones para la construcción de Comunidades Educativas Inclusivas (Mineduc, 2016) elaboradas por la Coordinación Nacional de Inclusión y Diversidad del Mineduc. Estos principios son los siguientes:</w:t>
      </w:r>
    </w:p>
    <w:p w14:paraId="3A51922D" w14:textId="77777777" w:rsidR="00A571B4" w:rsidRDefault="00A571B4" w:rsidP="00A571B4">
      <w:pPr>
        <w:spacing w:line="213" w:lineRule="atLeast"/>
        <w:jc w:val="both"/>
        <w:rPr>
          <w:rFonts w:cs="Times New Roman"/>
          <w:color w:val="404040" w:themeColor="text1" w:themeTint="BF"/>
          <w:sz w:val="18"/>
          <w:szCs w:val="17"/>
          <w:lang w:eastAsia="es-ES_tradnl"/>
        </w:rPr>
      </w:pPr>
    </w:p>
    <w:p w14:paraId="24AD4620" w14:textId="77777777" w:rsidR="00E15B87" w:rsidRDefault="00E15B87" w:rsidP="00A571B4">
      <w:pPr>
        <w:spacing w:line="213" w:lineRule="atLeast"/>
        <w:jc w:val="both"/>
        <w:rPr>
          <w:rFonts w:cs="Times New Roman"/>
          <w:color w:val="404040" w:themeColor="text1" w:themeTint="BF"/>
          <w:sz w:val="18"/>
          <w:szCs w:val="17"/>
          <w:lang w:eastAsia="es-ES_tradnl"/>
        </w:rPr>
      </w:pPr>
    </w:p>
    <w:p w14:paraId="2667FD4A" w14:textId="77777777" w:rsidR="00E15B87" w:rsidRDefault="00E15B87" w:rsidP="00A571B4">
      <w:pPr>
        <w:spacing w:line="213" w:lineRule="atLeast"/>
        <w:jc w:val="both"/>
        <w:rPr>
          <w:rFonts w:cs="Times New Roman"/>
          <w:color w:val="404040" w:themeColor="text1" w:themeTint="BF"/>
          <w:sz w:val="18"/>
          <w:szCs w:val="17"/>
          <w:lang w:eastAsia="es-ES_tradnl"/>
        </w:rPr>
      </w:pPr>
    </w:p>
    <w:p w14:paraId="54C88EF9" w14:textId="77777777" w:rsidR="004C2E93" w:rsidRPr="004C2E93" w:rsidRDefault="004C2E93" w:rsidP="0002238F">
      <w:pPr>
        <w:pStyle w:val="p1"/>
        <w:ind w:left="-142"/>
        <w:rPr>
          <w:rFonts w:asciiTheme="minorHAnsi" w:hAnsiTheme="minorHAnsi"/>
          <w:color w:val="auto"/>
          <w:sz w:val="17"/>
          <w:szCs w:val="17"/>
        </w:rPr>
      </w:pPr>
      <w:r w:rsidRPr="00A571B4">
        <w:rPr>
          <w:noProof/>
          <w:color w:val="404040" w:themeColor="text1" w:themeTint="BF"/>
          <w:sz w:val="18"/>
          <w:szCs w:val="17"/>
          <w:lang w:val="es-CL" w:eastAsia="es-CL"/>
        </w:rPr>
        <w:drawing>
          <wp:anchor distT="0" distB="0" distL="114300" distR="114300" simplePos="0" relativeHeight="251659264" behindDoc="0" locked="0" layoutInCell="1" allowOverlap="1" wp14:anchorId="36D1DA51" wp14:editId="61CA6E92">
            <wp:simplePos x="0" y="0"/>
            <wp:positionH relativeFrom="column">
              <wp:posOffset>459740</wp:posOffset>
            </wp:positionH>
            <wp:positionV relativeFrom="paragraph">
              <wp:posOffset>429895</wp:posOffset>
            </wp:positionV>
            <wp:extent cx="4394200" cy="2222500"/>
            <wp:effectExtent l="0" t="0" r="0" b="12700"/>
            <wp:wrapTight wrapText="bothSides">
              <wp:wrapPolygon edited="0">
                <wp:start x="7616" y="0"/>
                <wp:lineTo x="6617" y="1234"/>
                <wp:lineTo x="6617" y="2469"/>
                <wp:lineTo x="7117" y="3950"/>
                <wp:lineTo x="6742" y="7899"/>
                <wp:lineTo x="5369" y="8640"/>
                <wp:lineTo x="5119" y="9381"/>
                <wp:lineTo x="5119" y="11849"/>
                <wp:lineTo x="0" y="12837"/>
                <wp:lineTo x="0" y="14565"/>
                <wp:lineTo x="874" y="15799"/>
                <wp:lineTo x="0" y="19749"/>
                <wp:lineTo x="0" y="21477"/>
                <wp:lineTo x="18853" y="21477"/>
                <wp:lineTo x="20851" y="21477"/>
                <wp:lineTo x="21475" y="20489"/>
                <wp:lineTo x="21475" y="13083"/>
                <wp:lineTo x="20476" y="12343"/>
                <wp:lineTo x="16106" y="11849"/>
                <wp:lineTo x="16356" y="9381"/>
                <wp:lineTo x="15108" y="8640"/>
                <wp:lineTo x="12486" y="7899"/>
                <wp:lineTo x="13609" y="6665"/>
                <wp:lineTo x="13609" y="3456"/>
                <wp:lineTo x="12236" y="2222"/>
                <wp:lineTo x="8865" y="0"/>
                <wp:lineTo x="761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94200" cy="2222500"/>
                    </a:xfrm>
                    <a:prstGeom prst="rect">
                      <a:avLst/>
                    </a:prstGeom>
                  </pic:spPr>
                </pic:pic>
              </a:graphicData>
            </a:graphic>
            <wp14:sizeRelH relativeFrom="page">
              <wp14:pctWidth>0</wp14:pctWidth>
            </wp14:sizeRelH>
            <wp14:sizeRelV relativeFrom="page">
              <wp14:pctHeight>0</wp14:pctHeight>
            </wp14:sizeRelV>
          </wp:anchor>
        </w:drawing>
      </w:r>
      <w:r>
        <w:rPr>
          <w:color w:val="404040" w:themeColor="text1" w:themeTint="BF"/>
          <w:sz w:val="18"/>
          <w:szCs w:val="17"/>
        </w:rPr>
        <w:br w:type="column"/>
      </w:r>
      <w:r w:rsidRPr="0002238F">
        <w:rPr>
          <w:rFonts w:asciiTheme="minorHAnsi" w:hAnsiTheme="minorHAnsi"/>
          <w:color w:val="404040" w:themeColor="text1" w:themeTint="BF"/>
          <w:sz w:val="20"/>
          <w:szCs w:val="17"/>
        </w:rPr>
        <w:lastRenderedPageBreak/>
        <w:t>A continuación, se presenta una breve síntesis conceptual de cada uno de estos principios, junto con ejemplos que aportan a la comprensión de su definición</w:t>
      </w:r>
    </w:p>
    <w:p w14:paraId="66618BEE" w14:textId="38C5BD3D" w:rsidR="00A571B4" w:rsidRDefault="00A571B4" w:rsidP="00A571B4">
      <w:pPr>
        <w:spacing w:line="213" w:lineRule="atLeast"/>
        <w:jc w:val="both"/>
        <w:rPr>
          <w:rFonts w:cs="Times New Roman"/>
          <w:color w:val="404040" w:themeColor="text1" w:themeTint="BF"/>
          <w:sz w:val="18"/>
          <w:szCs w:val="17"/>
          <w:lang w:eastAsia="es-ES_tradnl"/>
        </w:rPr>
      </w:pPr>
    </w:p>
    <w:p w14:paraId="2D21C53E" w14:textId="77777777" w:rsidR="004C2E93" w:rsidRDefault="004C2E93" w:rsidP="00A571B4">
      <w:pPr>
        <w:spacing w:line="213" w:lineRule="atLeast"/>
        <w:jc w:val="both"/>
        <w:rPr>
          <w:rFonts w:cs="Times New Roman"/>
          <w:color w:val="404040" w:themeColor="text1" w:themeTint="BF"/>
          <w:sz w:val="18"/>
          <w:szCs w:val="17"/>
          <w:lang w:eastAsia="es-ES_tradnl"/>
        </w:rPr>
      </w:pPr>
    </w:p>
    <w:tbl>
      <w:tblPr>
        <w:tblStyle w:val="Tablaconcuadrcula"/>
        <w:tblW w:w="9526"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6"/>
      </w:tblGrid>
      <w:tr w:rsidR="00100BFE" w:rsidRPr="002F56E9" w14:paraId="40AB6EEE" w14:textId="77777777" w:rsidTr="007A2294">
        <w:trPr>
          <w:trHeight w:val="269"/>
        </w:trPr>
        <w:tc>
          <w:tcPr>
            <w:tcW w:w="9526" w:type="dxa"/>
            <w:shd w:val="clear" w:color="auto" w:fill="00D8B5"/>
          </w:tcPr>
          <w:p w14:paraId="47DB3C77" w14:textId="65D680B3" w:rsidR="00100BFE" w:rsidRPr="002F56E9" w:rsidRDefault="00100BFE" w:rsidP="00510CD3">
            <w:pPr>
              <w:pStyle w:val="Sinespaciado"/>
              <w:tabs>
                <w:tab w:val="left" w:pos="2082"/>
                <w:tab w:val="left" w:pos="4164"/>
                <w:tab w:val="center" w:pos="5151"/>
              </w:tabs>
              <w:jc w:val="center"/>
              <w:rPr>
                <w:b/>
                <w:color w:val="FFFFFF" w:themeColor="background1"/>
                <w:sz w:val="32"/>
              </w:rPr>
            </w:pPr>
            <w:r w:rsidRPr="002F56E9">
              <w:rPr>
                <w:b/>
                <w:color w:val="FFFFFF" w:themeColor="background1"/>
                <w:sz w:val="32"/>
              </w:rPr>
              <w:t>Presencia</w:t>
            </w:r>
            <w:r w:rsidR="00E107CC">
              <w:rPr>
                <w:b/>
                <w:color w:val="FFFFFF" w:themeColor="background1"/>
                <w:sz w:val="32"/>
                <w:vertAlign w:val="superscript"/>
              </w:rPr>
              <w:t>4</w:t>
            </w:r>
          </w:p>
        </w:tc>
      </w:tr>
      <w:tr w:rsidR="00100BFE" w:rsidRPr="00100BFE" w14:paraId="1A3375B9" w14:textId="77777777" w:rsidTr="0002238F">
        <w:trPr>
          <w:trHeight w:val="987"/>
        </w:trPr>
        <w:tc>
          <w:tcPr>
            <w:tcW w:w="9526" w:type="dxa"/>
            <w:shd w:val="clear" w:color="auto" w:fill="C5FBF3"/>
          </w:tcPr>
          <w:p w14:paraId="0BCB882A" w14:textId="77777777" w:rsidR="00100BFE" w:rsidRPr="0002238F" w:rsidRDefault="00100BFE" w:rsidP="00015EDB">
            <w:pPr>
              <w:jc w:val="both"/>
              <w:rPr>
                <w:color w:val="404040" w:themeColor="text1" w:themeTint="BF"/>
                <w:sz w:val="18"/>
              </w:rPr>
            </w:pPr>
            <w:r w:rsidRPr="0002238F">
              <w:rPr>
                <w:color w:val="404040" w:themeColor="text1" w:themeTint="BF"/>
                <w:sz w:val="18"/>
              </w:rPr>
              <w:t>La presencia de diversidad es la condición básica y piso mínimo para que la inclusión sea posible. Todas las acciones para favorecer la acogida, inducción y permanencia de los estudiantes constituyen iniciativas que incorporan el principio de presencia en términos de acceso. Así mismo, las acciones que favorecen el encuentro de la heterogeneidad en las actividades curriculares y en la vida escolar.</w:t>
            </w:r>
          </w:p>
        </w:tc>
      </w:tr>
      <w:tr w:rsidR="00100BFE" w:rsidRPr="00100BFE" w14:paraId="544FBC9D" w14:textId="77777777" w:rsidTr="0002238F">
        <w:trPr>
          <w:trHeight w:val="707"/>
        </w:trPr>
        <w:tc>
          <w:tcPr>
            <w:tcW w:w="9526" w:type="dxa"/>
            <w:tcBorders>
              <w:bottom w:val="single" w:sz="4" w:space="0" w:color="00D8B5"/>
            </w:tcBorders>
          </w:tcPr>
          <w:p w14:paraId="4337F21B" w14:textId="33258670" w:rsidR="00100BFE" w:rsidRPr="0002238F" w:rsidRDefault="00100BFE" w:rsidP="00015EDB">
            <w:pPr>
              <w:jc w:val="both"/>
              <w:rPr>
                <w:color w:val="404040" w:themeColor="text1" w:themeTint="BF"/>
                <w:sz w:val="18"/>
              </w:rPr>
            </w:pPr>
            <w:r w:rsidRPr="0002238F">
              <w:rPr>
                <w:b/>
                <w:color w:val="404040" w:themeColor="text1" w:themeTint="BF"/>
                <w:sz w:val="18"/>
              </w:rPr>
              <w:t>Ejemplo:</w:t>
            </w:r>
            <w:r w:rsidR="00012477">
              <w:rPr>
                <w:color w:val="404040" w:themeColor="text1" w:themeTint="BF"/>
                <w:sz w:val="18"/>
              </w:rPr>
              <w:t xml:space="preserve"> l</w:t>
            </w:r>
            <w:r w:rsidRPr="0002238F">
              <w:rPr>
                <w:color w:val="404040" w:themeColor="text1" w:themeTint="BF"/>
                <w:sz w:val="18"/>
              </w:rPr>
              <w:t>a distribución heterogénea de estudiantes en los distintos cursos de un mismo nivel, la organización diversa de grupos de trabajo en el aula y la presencia de estudiantes de diversas culturas dentro del establecimiento escolar son ejemplos de la presencia de la diversidad.</w:t>
            </w:r>
          </w:p>
        </w:tc>
      </w:tr>
    </w:tbl>
    <w:p w14:paraId="0398ACC0" w14:textId="77777777" w:rsidR="004C2E93" w:rsidRDefault="004C2E93" w:rsidP="00A571B4">
      <w:pPr>
        <w:spacing w:line="213" w:lineRule="atLeast"/>
        <w:jc w:val="both"/>
        <w:rPr>
          <w:rFonts w:cs="Times New Roman"/>
          <w:color w:val="404040" w:themeColor="text1" w:themeTint="BF"/>
          <w:sz w:val="18"/>
          <w:szCs w:val="17"/>
          <w:lang w:eastAsia="es-ES_tradnl"/>
        </w:rPr>
      </w:pPr>
    </w:p>
    <w:p w14:paraId="61CB5E9A" w14:textId="77777777" w:rsidR="0002238F" w:rsidRDefault="0002238F" w:rsidP="00A571B4">
      <w:pPr>
        <w:spacing w:line="213" w:lineRule="atLeast"/>
        <w:jc w:val="both"/>
        <w:rPr>
          <w:rFonts w:cs="Times New Roman"/>
          <w:color w:val="404040" w:themeColor="text1" w:themeTint="BF"/>
          <w:sz w:val="18"/>
          <w:szCs w:val="17"/>
          <w:lang w:eastAsia="es-ES_tradnl"/>
        </w:rPr>
      </w:pPr>
    </w:p>
    <w:tbl>
      <w:tblPr>
        <w:tblStyle w:val="Tablaconcuadrcula"/>
        <w:tblW w:w="9526" w:type="dxa"/>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6"/>
      </w:tblGrid>
      <w:tr w:rsidR="0002238F" w14:paraId="2E2877FD" w14:textId="77777777" w:rsidTr="0002238F">
        <w:trPr>
          <w:trHeight w:val="269"/>
        </w:trPr>
        <w:tc>
          <w:tcPr>
            <w:tcW w:w="9526" w:type="dxa"/>
            <w:shd w:val="clear" w:color="auto" w:fill="00D8B5"/>
          </w:tcPr>
          <w:p w14:paraId="2A94EBD8" w14:textId="615CD68B" w:rsidR="0002238F" w:rsidRPr="002F56E9" w:rsidRDefault="0002238F" w:rsidP="00015EDB">
            <w:pPr>
              <w:pStyle w:val="Sinespaciado"/>
              <w:tabs>
                <w:tab w:val="left" w:pos="3800"/>
                <w:tab w:val="center" w:pos="5151"/>
              </w:tabs>
              <w:rPr>
                <w:b/>
                <w:color w:val="FFFFFF" w:themeColor="background1"/>
                <w:sz w:val="32"/>
              </w:rPr>
            </w:pPr>
            <w:r w:rsidRPr="002F56E9">
              <w:rPr>
                <w:b/>
                <w:color w:val="FFFFFF" w:themeColor="background1"/>
                <w:sz w:val="32"/>
              </w:rPr>
              <w:tab/>
              <w:t>Reconocimiento</w:t>
            </w:r>
          </w:p>
        </w:tc>
      </w:tr>
      <w:tr w:rsidR="0002238F" w14:paraId="6B60C69A" w14:textId="77777777" w:rsidTr="0002238F">
        <w:trPr>
          <w:trHeight w:val="931"/>
        </w:trPr>
        <w:tc>
          <w:tcPr>
            <w:tcW w:w="9526" w:type="dxa"/>
            <w:shd w:val="clear" w:color="auto" w:fill="C5FBF3"/>
          </w:tcPr>
          <w:p w14:paraId="618FF96D" w14:textId="77777777" w:rsidR="0002238F" w:rsidRPr="0002238F" w:rsidRDefault="0002238F" w:rsidP="00015EDB">
            <w:pPr>
              <w:jc w:val="both"/>
              <w:rPr>
                <w:color w:val="404040" w:themeColor="text1" w:themeTint="BF"/>
                <w:sz w:val="18"/>
              </w:rPr>
            </w:pPr>
            <w:r w:rsidRPr="0002238F">
              <w:rPr>
                <w:color w:val="404040" w:themeColor="text1" w:themeTint="BF"/>
                <w:sz w:val="18"/>
              </w:rPr>
              <w:t>El reconocimiento tiene relación con la valoración de las particularidades de cada estudiante y de sus familias superando las categorizaciones, sean estas en función de un déficit o carencia respecto de un referente de normalidad. Probablemente la mayor complejidad de este esfuerzo es que los actores educativos, así como todos los miembros de nuestra cultura, compartimos elementos que sesgan nuestra mirada sobre las y los demás a partir de estereotipos</w:t>
            </w:r>
          </w:p>
        </w:tc>
      </w:tr>
      <w:tr w:rsidR="0002238F" w14:paraId="4B18F71A" w14:textId="77777777" w:rsidTr="0002238F">
        <w:trPr>
          <w:trHeight w:val="931"/>
        </w:trPr>
        <w:tc>
          <w:tcPr>
            <w:tcW w:w="9526" w:type="dxa"/>
            <w:tcBorders>
              <w:bottom w:val="single" w:sz="4" w:space="0" w:color="00D8B5"/>
            </w:tcBorders>
          </w:tcPr>
          <w:p w14:paraId="7AAFF362" w14:textId="2CD47093" w:rsidR="0002238F" w:rsidRPr="0002238F" w:rsidRDefault="0002238F" w:rsidP="00015EDB">
            <w:pPr>
              <w:pStyle w:val="Sinespaciado"/>
              <w:jc w:val="both"/>
              <w:rPr>
                <w:b/>
                <w:color w:val="404040" w:themeColor="text1" w:themeTint="BF"/>
                <w:sz w:val="18"/>
              </w:rPr>
            </w:pPr>
            <w:r w:rsidRPr="0002238F">
              <w:rPr>
                <w:noProof/>
                <w:color w:val="404040" w:themeColor="text1" w:themeTint="BF"/>
                <w:sz w:val="18"/>
                <w:lang w:eastAsia="es-CL"/>
              </w:rPr>
              <mc:AlternateContent>
                <mc:Choice Requires="wps">
                  <w:drawing>
                    <wp:anchor distT="0" distB="0" distL="114300" distR="114300" simplePos="0" relativeHeight="251661312" behindDoc="0" locked="0" layoutInCell="1" allowOverlap="1" wp14:anchorId="17CC8E11" wp14:editId="1D72F20D">
                      <wp:simplePos x="0" y="0"/>
                      <wp:positionH relativeFrom="column">
                        <wp:posOffset>5309870</wp:posOffset>
                      </wp:positionH>
                      <wp:positionV relativeFrom="paragraph">
                        <wp:posOffset>-10121265</wp:posOffset>
                      </wp:positionV>
                      <wp:extent cx="1009650" cy="1057275"/>
                      <wp:effectExtent l="0" t="0" r="19050" b="28575"/>
                      <wp:wrapNone/>
                      <wp:docPr id="18" name="Rectángulo 18"/>
                      <wp:cNvGraphicFramePr/>
                      <a:graphic xmlns:a="http://schemas.openxmlformats.org/drawingml/2006/main">
                        <a:graphicData uri="http://schemas.microsoft.com/office/word/2010/wordprocessingShape">
                          <wps:wsp>
                            <wps:cNvSpPr/>
                            <wps:spPr>
                              <a:xfrm>
                                <a:off x="0" y="0"/>
                                <a:ext cx="1009650" cy="10572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5632EC0" w14:textId="77777777" w:rsidR="0002238F" w:rsidRPr="008F33F8" w:rsidRDefault="0002238F" w:rsidP="0002238F">
                                  <w:pPr>
                                    <w:rPr>
                                      <w:sz w:val="16"/>
                                      <w:szCs w:val="16"/>
                                    </w:rPr>
                                  </w:pPr>
                                  <w:r>
                                    <w:t>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7CC8E11" id="Rectángulo 18" o:spid="_x0000_s1026" style="position:absolute;left:0;text-align:left;margin-left:418.1pt;margin-top:-796.9pt;width:79.5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ltfXECAAAiBQAADgAAAGRycy9lMm9Eb2MueG1srFTNbtswDL4P2DsIuq+2g/6sQZ0iaNFhQNEW&#10;bYeeFVlKjMmiRimxs7fZs+zFSsmOm3U5DbvYosiPPx9JXVx2jWEbhb4GW/LiKOdMWQlVbZcl//Z8&#10;8+kzZz4IWwkDVpV8qzy/nH38cNG6qZrACkylkJET66etK/kqBDfNMi9XqhH+CJyypNSAjQgk4jKr&#10;ULTkvTHZJM9PsxawcghSeU+3172Sz5J/rZUM91p7FZgpOeUW0hfTdxG/2exCTJco3KqWQxriH7Jo&#10;RG0p6OjqWgTB1lj/5aqpJYIHHY4kNBloXUuVaqBqivxdNU8r4VSqhcjxbqTJ/z+38m7zgKyuqHfU&#10;KSsa6tEjsfb7l12uDTC6JYpa56dk+eQecJA8HWO9ncYm/qkS1iVatyOtqgtM0mWR5+enJ8S+JF2R&#10;n5xNzk6i1+wN7tCHLwoaFg8lR8og0Sk2tz70pjsTwsV0+gTSKWyNijkY+6g01UIhJwmdpkhdGWQb&#10;Qf0XUiobiiF0so4wXRszAotDQDOCBtsIU2m6RmB+CPhnxBGRooINI7ipLeAhB9X3Xbq6t99V39cc&#10;yw/dohuasoBqS91E6MfcO3lTE5+3wocHgTTX1APa1XBPH22gLTkMJ85WgD8P3Ud7GjfSctbSnpTc&#10;/1gLVJyZr5YG8bw4Po6LlYRj6i0JuK9Z7GvsurkCakVBr4KT6Rjtg9kdNULzQis9j1FJJayk2CWX&#10;AXfCVej3lx4FqebzZEbL5ES4tU9ORueR4Dgvz92LQDcMVaB5vIPdTonpu9nqbSPSwnwdQNdp8CLF&#10;Pa8D9bSIaXSHRyNu+r6crN6ettkrAAAA//8DAFBLAwQUAAYACAAAACEAZEF7tOMAAAAPAQAADwAA&#10;AGRycy9kb3ducmV2LnhtbEyPTU+DQBCG7yb+h82YeGuXshYBWZrGxMSDJrU2PW/ZEVB2l7BboP/e&#10;6UmP886T96PYzKZjIw6+dVbCahkBQ1s53dpawuHzZZEC80FZrTpnUcIFPWzK25tC5dpN9gPHfagZ&#10;mVifKwlNCH3Oua8aNMovXY+Wfl9uMCrQOdRcD2oic9PxOIoSblRrKaFRPT43WP3sz0aC++ZjUr8d&#10;t+JVpeJ99jsTXyYp7+/m7ROwgHP4g+Fan6pDSZ1O7my1Z52EVCQxoRIWq3UmaAUxWbYm7XTVHuJH&#10;Abws+P8d5S8AAAD//wMAUEsBAi0AFAAGAAgAAAAhAOSZw8D7AAAA4QEAABMAAAAAAAAAAAAAAAAA&#10;AAAAAFtDb250ZW50X1R5cGVzXS54bWxQSwECLQAUAAYACAAAACEAI7Jq4dcAAACUAQAACwAAAAAA&#10;AAAAAAAAAAAsAQAAX3JlbHMvLnJlbHNQSwECLQAUAAYACAAAACEAJwltfXECAAAiBQAADgAAAAAA&#10;AAAAAAAAAAAsAgAAZHJzL2Uyb0RvYy54bWxQSwECLQAUAAYACAAAACEAZEF7tOMAAAAPAQAADwAA&#10;AAAAAAAAAAAAAADJBAAAZHJzL2Rvd25yZXYueG1sUEsFBgAAAAAEAAQA8wAAANkFAAAAAA==&#10;" fillcolor="white [3201]" strokecolor="#4472c4 [3204]" strokeweight="1pt">
                      <v:textbox>
                        <w:txbxContent>
                          <w:p w14:paraId="45632EC0" w14:textId="77777777" w:rsidR="0002238F" w:rsidRPr="008F33F8" w:rsidRDefault="0002238F" w:rsidP="0002238F">
                            <w:pPr>
                              <w:rPr>
                                <w:sz w:val="16"/>
                                <w:szCs w:val="16"/>
                              </w:rPr>
                            </w:pPr>
                            <w:r>
                              <w:t>___________________________________________________________________________________________</w:t>
                            </w:r>
                          </w:p>
                        </w:txbxContent>
                      </v:textbox>
                    </v:rect>
                  </w:pict>
                </mc:Fallback>
              </mc:AlternateContent>
            </w:r>
            <w:r w:rsidRPr="0002238F">
              <w:rPr>
                <w:rStyle w:val="A9"/>
                <w:b/>
                <w:color w:val="404040" w:themeColor="text1" w:themeTint="BF"/>
                <w:sz w:val="18"/>
              </w:rPr>
              <w:t>Ejemplo</w:t>
            </w:r>
            <w:r w:rsidR="00012477">
              <w:rPr>
                <w:rStyle w:val="A9"/>
                <w:color w:val="404040" w:themeColor="text1" w:themeTint="BF"/>
                <w:sz w:val="18"/>
              </w:rPr>
              <w:t>: u</w:t>
            </w:r>
            <w:r w:rsidRPr="0002238F">
              <w:rPr>
                <w:rStyle w:val="A9"/>
                <w:color w:val="404040" w:themeColor="text1" w:themeTint="BF"/>
                <w:sz w:val="18"/>
              </w:rPr>
              <w:t xml:space="preserve">na escuela que problematiza la forma en la que se construye conocimiento sobre sus estudiantes. Esta históricamente ha estado marcada por identificar a los “vulnerados” o excluidos, sin embargo ahora busca quitar esos estigmas y desarrollar una imagen integral de los sujetos como plenos aprendices. El cuestionamiento de los propios sesgos y el cambio que esto conlleva es un ejemplo de reconocimiento de la diversidad.  </w:t>
            </w:r>
          </w:p>
        </w:tc>
      </w:tr>
    </w:tbl>
    <w:p w14:paraId="51F91DC0" w14:textId="77777777" w:rsidR="0002238F" w:rsidRDefault="0002238F" w:rsidP="00A571B4">
      <w:pPr>
        <w:spacing w:line="213" w:lineRule="atLeast"/>
        <w:jc w:val="both"/>
        <w:rPr>
          <w:rFonts w:cs="Times New Roman"/>
          <w:color w:val="404040" w:themeColor="text1" w:themeTint="BF"/>
          <w:sz w:val="18"/>
          <w:szCs w:val="17"/>
          <w:lang w:eastAsia="es-ES_tradnl"/>
        </w:rPr>
      </w:pPr>
    </w:p>
    <w:p w14:paraId="106EE7F6" w14:textId="77777777" w:rsidR="00510CD3" w:rsidRDefault="00510CD3" w:rsidP="00A571B4">
      <w:pPr>
        <w:spacing w:line="213" w:lineRule="atLeast"/>
        <w:jc w:val="both"/>
        <w:rPr>
          <w:rFonts w:cs="Times New Roman"/>
          <w:color w:val="404040" w:themeColor="text1" w:themeTint="BF"/>
          <w:sz w:val="18"/>
          <w:szCs w:val="17"/>
          <w:lang w:eastAsia="es-ES_tradnl"/>
        </w:rPr>
      </w:pPr>
    </w:p>
    <w:tbl>
      <w:tblPr>
        <w:tblStyle w:val="Tablaconcuadrcula"/>
        <w:tblW w:w="9526" w:type="dxa"/>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6"/>
      </w:tblGrid>
      <w:tr w:rsidR="00E107CC" w:rsidRPr="002F56E9" w14:paraId="74D03FCE" w14:textId="77777777" w:rsidTr="00E107CC">
        <w:trPr>
          <w:trHeight w:val="269"/>
        </w:trPr>
        <w:tc>
          <w:tcPr>
            <w:tcW w:w="9526" w:type="dxa"/>
            <w:shd w:val="clear" w:color="auto" w:fill="00D8B5"/>
          </w:tcPr>
          <w:p w14:paraId="0A623678" w14:textId="77777777" w:rsidR="00E107CC" w:rsidRPr="002F56E9" w:rsidRDefault="00E107CC" w:rsidP="00015EDB">
            <w:pPr>
              <w:pStyle w:val="Sinespaciado"/>
              <w:jc w:val="center"/>
              <w:rPr>
                <w:b/>
                <w:color w:val="FFFFFF" w:themeColor="background1"/>
                <w:sz w:val="32"/>
              </w:rPr>
            </w:pPr>
            <w:r w:rsidRPr="002F56E9">
              <w:rPr>
                <w:b/>
                <w:color w:val="FFFFFF" w:themeColor="background1"/>
                <w:sz w:val="32"/>
              </w:rPr>
              <w:t>Pertine</w:t>
            </w:r>
            <w:r w:rsidRPr="00E107CC">
              <w:rPr>
                <w:b/>
                <w:color w:val="FFFFFF" w:themeColor="background1"/>
                <w:sz w:val="32"/>
                <w:shd w:val="clear" w:color="auto" w:fill="00D8B5"/>
              </w:rPr>
              <w:t>ncia</w:t>
            </w:r>
          </w:p>
        </w:tc>
      </w:tr>
      <w:tr w:rsidR="00E107CC" w14:paraId="7206236E" w14:textId="77777777" w:rsidTr="00E107CC">
        <w:trPr>
          <w:trHeight w:val="1047"/>
        </w:trPr>
        <w:tc>
          <w:tcPr>
            <w:tcW w:w="9526" w:type="dxa"/>
            <w:shd w:val="clear" w:color="auto" w:fill="C5FBF3"/>
          </w:tcPr>
          <w:p w14:paraId="742CB419" w14:textId="77777777" w:rsidR="00E107CC" w:rsidRPr="00E107CC" w:rsidRDefault="00E107CC" w:rsidP="00015EDB">
            <w:pPr>
              <w:jc w:val="both"/>
              <w:rPr>
                <w:color w:val="404040" w:themeColor="text1" w:themeTint="BF"/>
                <w:sz w:val="20"/>
              </w:rPr>
            </w:pPr>
            <w:r w:rsidRPr="00E107CC">
              <w:rPr>
                <w:color w:val="404040" w:themeColor="text1" w:themeTint="BF"/>
                <w:sz w:val="20"/>
              </w:rPr>
              <w:t>La pertinencia tiene relación con desarrollar contextos de aprendizaje que aseguren que cada estudiante se vea representado, se reconozca en las actividades y los espacios que la escuela le ofrece. De esta manera, la escuela le proporciona caminos de aprendizaje y participación que hacen sentido a su realidad, cultura, orientación de género, edad, estilos de aprendizaje, intereses y talentos.</w:t>
            </w:r>
          </w:p>
        </w:tc>
      </w:tr>
      <w:tr w:rsidR="00E107CC" w14:paraId="01B9D9EC" w14:textId="77777777" w:rsidTr="00E107CC">
        <w:trPr>
          <w:trHeight w:val="795"/>
        </w:trPr>
        <w:tc>
          <w:tcPr>
            <w:tcW w:w="9526" w:type="dxa"/>
            <w:tcBorders>
              <w:bottom w:val="single" w:sz="4" w:space="0" w:color="00D8B5"/>
            </w:tcBorders>
          </w:tcPr>
          <w:p w14:paraId="708A3901" w14:textId="3E02A4EE" w:rsidR="00E107CC" w:rsidRPr="00E107CC" w:rsidRDefault="00E107CC" w:rsidP="00015EDB">
            <w:pPr>
              <w:jc w:val="both"/>
              <w:rPr>
                <w:color w:val="404040" w:themeColor="text1" w:themeTint="BF"/>
                <w:sz w:val="20"/>
              </w:rPr>
            </w:pPr>
            <w:r w:rsidRPr="00E107CC">
              <w:rPr>
                <w:b/>
                <w:noProof/>
                <w:color w:val="404040" w:themeColor="text1" w:themeTint="BF"/>
                <w:sz w:val="20"/>
                <w:lang w:eastAsia="es-CL"/>
              </w:rPr>
              <mc:AlternateContent>
                <mc:Choice Requires="wps">
                  <w:drawing>
                    <wp:anchor distT="0" distB="0" distL="114300" distR="114300" simplePos="0" relativeHeight="251663360" behindDoc="0" locked="0" layoutInCell="1" allowOverlap="1" wp14:anchorId="51E9DE44" wp14:editId="1400C501">
                      <wp:simplePos x="0" y="0"/>
                      <wp:positionH relativeFrom="column">
                        <wp:posOffset>5309870</wp:posOffset>
                      </wp:positionH>
                      <wp:positionV relativeFrom="paragraph">
                        <wp:posOffset>-10121265</wp:posOffset>
                      </wp:positionV>
                      <wp:extent cx="1009650" cy="1057275"/>
                      <wp:effectExtent l="0" t="0" r="19050" b="28575"/>
                      <wp:wrapNone/>
                      <wp:docPr id="20" name="Rectángulo 20"/>
                      <wp:cNvGraphicFramePr/>
                      <a:graphic xmlns:a="http://schemas.openxmlformats.org/drawingml/2006/main">
                        <a:graphicData uri="http://schemas.microsoft.com/office/word/2010/wordprocessingShape">
                          <wps:wsp>
                            <wps:cNvSpPr/>
                            <wps:spPr>
                              <a:xfrm>
                                <a:off x="0" y="0"/>
                                <a:ext cx="1009650" cy="10572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1143435" w14:textId="77777777" w:rsidR="00E107CC" w:rsidRPr="008F33F8" w:rsidRDefault="00E107CC" w:rsidP="00E107CC">
                                  <w:pPr>
                                    <w:rPr>
                                      <w:sz w:val="16"/>
                                      <w:szCs w:val="16"/>
                                    </w:rPr>
                                  </w:pPr>
                                  <w:r>
                                    <w:t>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1E9DE44" id="Rectángulo 20" o:spid="_x0000_s1027" style="position:absolute;left:0;text-align:left;margin-left:418.1pt;margin-top:-796.9pt;width:79.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XqMnECAAApBQAADgAAAGRycy9lMm9Eb2MueG1srFRLbtswEN0X6B0I7htJRj6NETkwEqQoECRB&#10;kiJrmiJtoRSHHdKW3Nv0LL1YhpSsuKlXRTcShzNvvm94cdk1hm0U+hpsyYujnDNlJVS1XZb82/PN&#10;p8+c+SBsJQxYVfKt8vxy9vHDReumagIrMJVCRk6sn7au5KsQ3DTLvFypRvgjcMqSUgM2IpCIy6xC&#10;0ZL3xmSTPD/NWsDKIUjlPd1e90o+S/61VjLca+1VYKbklFtIX0zfRfxmswsxXaJwq1oOaYh/yKIR&#10;taWgo6trEQRbY/2Xq6aWCB50OJLQZKB1LVWqgaop8nfVPK2EU6kWao53Y5v8/3Mr7zYPyOqq5BNq&#10;jxUNzeiRuvb7l12uDTC6pRa1zk/J8sk94CB5OsZ6O41N/FMlrEtt3Y5tVV1gki6LPD8/PSH3knRF&#10;fnI2OTuJXrM3uEMfvihoWDyUHCmD1E6xufWhN92ZEC6m0yeQTmFrVMzB2EelqRYKOUnoxCJ1ZZBt&#10;BM1fSKlsKIbQyTrCdG3MCCwOAc0IGmwjTCV2jcD8EPDPiCMiRQUbRnBTW8BDDqrvu3R1b7+rvq85&#10;lh+6RZcGmCzjzQKqLQ0VoWe7d/KmprbeCh8eBBK9aRS0suGePtpAW3IYTpytAH8euo/2xDrSctbS&#10;upTc/1gLVJyZr5b4eF4cH8f9SsIxjZgE3Ncs9jV23VwBTaSgx8HJdIz2weyOGqF5oc2ex6ikElZS&#10;7JLLgDvhKvRrTG+DVPN5MqOdciLc2icno/PY50ib5+5FoBu4FYiWd7BbLTF9R7HeNiItzNcBdJ34&#10;99bXYQK0j4nBw9sRF35fTlZvL9zsFQAA//8DAFBLAwQUAAYACAAAACEAZEF7tOMAAAAPAQAADwAA&#10;AGRycy9kb3ducmV2LnhtbEyPTU+DQBCG7yb+h82YeGuXshYBWZrGxMSDJrU2PW/ZEVB2l7BboP/e&#10;6UmP886T96PYzKZjIw6+dVbCahkBQ1s53dpawuHzZZEC80FZrTpnUcIFPWzK25tC5dpN9gPHfagZ&#10;mVifKwlNCH3Oua8aNMovXY+Wfl9uMCrQOdRcD2oic9PxOIoSblRrKaFRPT43WP3sz0aC++ZjUr8d&#10;t+JVpeJ99jsTXyYp7+/m7ROwgHP4g+Fan6pDSZ1O7my1Z52EVCQxoRIWq3UmaAUxWbYm7XTVHuJH&#10;Abws+P8d5S8AAAD//wMAUEsBAi0AFAAGAAgAAAAhAOSZw8D7AAAA4QEAABMAAAAAAAAAAAAAAAAA&#10;AAAAAFtDb250ZW50X1R5cGVzXS54bWxQSwECLQAUAAYACAAAACEAI7Jq4dcAAACUAQAACwAAAAAA&#10;AAAAAAAAAAAsAQAAX3JlbHMvLnJlbHNQSwECLQAUAAYACAAAACEAi3XqMnECAAApBQAADgAAAAAA&#10;AAAAAAAAAAAsAgAAZHJzL2Uyb0RvYy54bWxQSwECLQAUAAYACAAAACEAZEF7tOMAAAAPAQAADwAA&#10;AAAAAAAAAAAAAADJBAAAZHJzL2Rvd25yZXYueG1sUEsFBgAAAAAEAAQA8wAAANkFAAAAAA==&#10;" fillcolor="white [3201]" strokecolor="#4472c4 [3204]" strokeweight="1pt">
                      <v:textbox>
                        <w:txbxContent>
                          <w:p w14:paraId="71143435" w14:textId="77777777" w:rsidR="00E107CC" w:rsidRPr="008F33F8" w:rsidRDefault="00E107CC" w:rsidP="00E107CC">
                            <w:pPr>
                              <w:rPr>
                                <w:sz w:val="16"/>
                                <w:szCs w:val="16"/>
                              </w:rPr>
                            </w:pPr>
                            <w:r>
                              <w:t>___________________________________________________________________________________________</w:t>
                            </w:r>
                          </w:p>
                        </w:txbxContent>
                      </v:textbox>
                    </v:rect>
                  </w:pict>
                </mc:Fallback>
              </mc:AlternateContent>
            </w:r>
            <w:r w:rsidRPr="00E107CC">
              <w:rPr>
                <w:b/>
                <w:color w:val="404040" w:themeColor="text1" w:themeTint="BF"/>
                <w:sz w:val="20"/>
              </w:rPr>
              <w:t>Ejemplo</w:t>
            </w:r>
            <w:r w:rsidR="00012477">
              <w:rPr>
                <w:color w:val="404040" w:themeColor="text1" w:themeTint="BF"/>
                <w:sz w:val="20"/>
              </w:rPr>
              <w:t>: c</w:t>
            </w:r>
            <w:r w:rsidRPr="00E107CC">
              <w:rPr>
                <w:color w:val="404040" w:themeColor="text1" w:themeTint="BF"/>
                <w:sz w:val="20"/>
              </w:rPr>
              <w:t>omunidades donde las instancias formales, la vida escolar con sus actividades dentro y fuera del aula, las celebraciones, rituales y acciones en la comunidad local permiten la expresión de la diversidad de los estudiantes y colectivos que conforman la comunidad educativa.</w:t>
            </w:r>
          </w:p>
        </w:tc>
      </w:tr>
    </w:tbl>
    <w:p w14:paraId="09C58C2E"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7A9F82F2"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0E5516BC"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7155DA19"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059CECF1"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703A96C4"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12B6C668"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08E63829"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03052F1A"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78ECA061"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28D1A254"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0D4D2917"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642E1026"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562E75DE"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4F6CAD59"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09A3D258" w14:textId="77777777" w:rsidR="00EC41F8" w:rsidRDefault="00EC41F8" w:rsidP="00A571B4">
      <w:pPr>
        <w:spacing w:line="213" w:lineRule="atLeast"/>
        <w:jc w:val="both"/>
        <w:rPr>
          <w:rFonts w:cs="Times New Roman"/>
          <w:color w:val="404040" w:themeColor="text1" w:themeTint="BF"/>
          <w:sz w:val="18"/>
          <w:szCs w:val="17"/>
          <w:lang w:eastAsia="es-ES_tradnl"/>
        </w:rPr>
      </w:pPr>
    </w:p>
    <w:p w14:paraId="6CC921D4" w14:textId="77777777" w:rsidR="00EC41F8" w:rsidRDefault="00EC41F8" w:rsidP="00A571B4">
      <w:pPr>
        <w:spacing w:line="213" w:lineRule="atLeast"/>
        <w:jc w:val="both"/>
        <w:rPr>
          <w:rFonts w:cs="Times New Roman"/>
          <w:color w:val="404040" w:themeColor="text1" w:themeTint="BF"/>
          <w:sz w:val="18"/>
          <w:szCs w:val="17"/>
          <w:lang w:eastAsia="es-ES_tradnl"/>
        </w:rPr>
      </w:pPr>
    </w:p>
    <w:p w14:paraId="7B23B421" w14:textId="77777777" w:rsidR="00EC41F8" w:rsidRDefault="00EC41F8" w:rsidP="00A571B4">
      <w:pPr>
        <w:spacing w:line="213" w:lineRule="atLeast"/>
        <w:jc w:val="both"/>
        <w:rPr>
          <w:rFonts w:cs="Times New Roman"/>
          <w:color w:val="404040" w:themeColor="text1" w:themeTint="BF"/>
          <w:sz w:val="18"/>
          <w:szCs w:val="17"/>
          <w:lang w:eastAsia="es-ES_tradnl"/>
        </w:rPr>
      </w:pPr>
    </w:p>
    <w:p w14:paraId="17431829" w14:textId="77777777" w:rsidR="00510CD3" w:rsidRDefault="00510CD3" w:rsidP="00A571B4">
      <w:pPr>
        <w:spacing w:line="213" w:lineRule="atLeast"/>
        <w:jc w:val="both"/>
        <w:rPr>
          <w:rFonts w:cs="Times New Roman"/>
          <w:color w:val="404040" w:themeColor="text1" w:themeTint="BF"/>
          <w:sz w:val="18"/>
          <w:szCs w:val="17"/>
          <w:lang w:eastAsia="es-ES_tradnl"/>
        </w:rPr>
      </w:pPr>
    </w:p>
    <w:p w14:paraId="040294CC" w14:textId="40839095" w:rsidR="00510CD3" w:rsidRPr="00A571B4" w:rsidRDefault="00E107CC" w:rsidP="00510CD3">
      <w:pPr>
        <w:spacing w:line="213" w:lineRule="atLeast"/>
        <w:rPr>
          <w:rFonts w:cs="Times New Roman"/>
          <w:color w:val="404040" w:themeColor="text1" w:themeTint="BF"/>
          <w:sz w:val="18"/>
          <w:szCs w:val="17"/>
          <w:lang w:eastAsia="es-ES_tradnl"/>
        </w:rPr>
      </w:pPr>
      <w:r>
        <w:rPr>
          <w:rStyle w:val="Refdenotaalpie"/>
          <w:b/>
          <w:color w:val="00D8B5"/>
        </w:rPr>
        <w:t>4</w:t>
      </w:r>
      <w:r w:rsidR="00510CD3">
        <w:t xml:space="preserve"> </w:t>
      </w:r>
      <w:r w:rsidR="00510CD3" w:rsidRPr="00510CD3">
        <w:rPr>
          <w:color w:val="404040" w:themeColor="text1" w:themeTint="BF"/>
          <w:sz w:val="17"/>
          <w:szCs w:val="17"/>
        </w:rPr>
        <w:t>Para profundizar en cada una de estos principios y conocer ejemplos, consultar las páginas 17-21 de las Orientaciones para la Construcción de Comunidades Educativas Inclusivas, disponible en: http://www.Mineduc.cl/wp-content/uploads/sites/19/2017/03/Documento-Orientaciones-28.12.16.pdf</w:t>
      </w:r>
    </w:p>
    <w:sectPr w:rsidR="00510CD3" w:rsidRPr="00A571B4" w:rsidSect="00EC41F8">
      <w:pgSz w:w="12240" w:h="15840"/>
      <w:pgMar w:top="1417" w:right="1701" w:bottom="55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891DE" w14:textId="77777777" w:rsidR="00D87C6F" w:rsidRDefault="00D87C6F" w:rsidP="00100BFE">
      <w:r>
        <w:separator/>
      </w:r>
    </w:p>
  </w:endnote>
  <w:endnote w:type="continuationSeparator" w:id="0">
    <w:p w14:paraId="0EE8F312" w14:textId="77777777" w:rsidR="00D87C6F" w:rsidRDefault="00D87C6F" w:rsidP="00100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bCL">
    <w:altName w:val="Times New Roman"/>
    <w:charset w:val="00"/>
    <w:family w:val="auto"/>
    <w:pitch w:val="variable"/>
    <w:sig w:usb0="00000001" w:usb1="4000005B" w:usb2="00000000" w:usb3="00000000" w:csb0="00000111" w:csb1="00000000"/>
  </w:font>
  <w:font w:name="gobCL Light">
    <w:altName w:val="Times New Roman"/>
    <w:charset w:val="00"/>
    <w:family w:val="auto"/>
    <w:pitch w:val="variable"/>
    <w:sig w:usb0="00000001" w:usb1="00000000"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B4FE9" w14:textId="77777777" w:rsidR="00D87C6F" w:rsidRDefault="00D87C6F" w:rsidP="00100BFE">
      <w:r>
        <w:separator/>
      </w:r>
    </w:p>
  </w:footnote>
  <w:footnote w:type="continuationSeparator" w:id="0">
    <w:p w14:paraId="09545E3F" w14:textId="77777777" w:rsidR="00D87C6F" w:rsidRDefault="00D87C6F" w:rsidP="00100B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1B4"/>
    <w:rsid w:val="00012477"/>
    <w:rsid w:val="0002238F"/>
    <w:rsid w:val="00100BFE"/>
    <w:rsid w:val="004C2E93"/>
    <w:rsid w:val="00510CD3"/>
    <w:rsid w:val="005A508E"/>
    <w:rsid w:val="00797A0D"/>
    <w:rsid w:val="007A2294"/>
    <w:rsid w:val="00A43102"/>
    <w:rsid w:val="00A571B4"/>
    <w:rsid w:val="00BD39D4"/>
    <w:rsid w:val="00BF4823"/>
    <w:rsid w:val="00C701E4"/>
    <w:rsid w:val="00D32720"/>
    <w:rsid w:val="00D87C6F"/>
    <w:rsid w:val="00E107CC"/>
    <w:rsid w:val="00E15B87"/>
    <w:rsid w:val="00EC41F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345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1">
    <w:name w:val="p1"/>
    <w:basedOn w:val="Normal"/>
    <w:rsid w:val="00A571B4"/>
    <w:pPr>
      <w:jc w:val="both"/>
    </w:pPr>
    <w:rPr>
      <w:rFonts w:ascii="gobCL" w:hAnsi="gobCL" w:cs="Times New Roman"/>
      <w:color w:val="00B89F"/>
      <w:sz w:val="27"/>
      <w:szCs w:val="27"/>
      <w:lang w:eastAsia="es-ES_tradnl"/>
    </w:rPr>
  </w:style>
  <w:style w:type="paragraph" w:customStyle="1" w:styleId="p2">
    <w:name w:val="p2"/>
    <w:basedOn w:val="Normal"/>
    <w:rsid w:val="00A571B4"/>
    <w:pPr>
      <w:spacing w:line="213" w:lineRule="atLeast"/>
      <w:jc w:val="both"/>
    </w:pPr>
    <w:rPr>
      <w:rFonts w:ascii="gobCL Light" w:hAnsi="gobCL Light" w:cs="Times New Roman"/>
      <w:sz w:val="17"/>
      <w:szCs w:val="17"/>
      <w:lang w:eastAsia="es-ES_tradnl"/>
    </w:rPr>
  </w:style>
  <w:style w:type="table" w:styleId="Tablaconcuadrcula">
    <w:name w:val="Table Grid"/>
    <w:basedOn w:val="Tablanormal"/>
    <w:uiPriority w:val="39"/>
    <w:rsid w:val="00100BFE"/>
    <w:rPr>
      <w:sz w:val="22"/>
      <w:szCs w:val="22"/>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00BFE"/>
    <w:rPr>
      <w:sz w:val="22"/>
      <w:szCs w:val="22"/>
      <w:lang w:val="es-CL"/>
    </w:rPr>
  </w:style>
  <w:style w:type="paragraph" w:styleId="Textonotapie">
    <w:name w:val="footnote text"/>
    <w:basedOn w:val="Normal"/>
    <w:link w:val="TextonotapieCar"/>
    <w:uiPriority w:val="99"/>
    <w:unhideWhenUsed/>
    <w:rsid w:val="00100BFE"/>
    <w:rPr>
      <w:sz w:val="20"/>
      <w:szCs w:val="20"/>
      <w:lang w:val="es-CL"/>
    </w:rPr>
  </w:style>
  <w:style w:type="character" w:customStyle="1" w:styleId="TextonotapieCar">
    <w:name w:val="Texto nota pie Car"/>
    <w:basedOn w:val="Fuentedeprrafopredeter"/>
    <w:link w:val="Textonotapie"/>
    <w:uiPriority w:val="99"/>
    <w:rsid w:val="00100BFE"/>
    <w:rPr>
      <w:sz w:val="20"/>
      <w:szCs w:val="20"/>
      <w:lang w:val="es-CL"/>
    </w:rPr>
  </w:style>
  <w:style w:type="character" w:styleId="Refdenotaalpie">
    <w:name w:val="footnote reference"/>
    <w:basedOn w:val="Fuentedeprrafopredeter"/>
    <w:uiPriority w:val="99"/>
    <w:semiHidden/>
    <w:unhideWhenUsed/>
    <w:rsid w:val="00100BFE"/>
    <w:rPr>
      <w:vertAlign w:val="superscript"/>
    </w:rPr>
  </w:style>
  <w:style w:type="character" w:customStyle="1" w:styleId="A9">
    <w:name w:val="A9"/>
    <w:uiPriority w:val="99"/>
    <w:rsid w:val="0002238F"/>
    <w:rPr>
      <w:rFonts w:cs="gobCL"/>
      <w:color w:val="000000"/>
      <w:sz w:val="22"/>
      <w:szCs w:val="22"/>
    </w:rPr>
  </w:style>
  <w:style w:type="paragraph" w:styleId="Encabezado">
    <w:name w:val="header"/>
    <w:basedOn w:val="Normal"/>
    <w:link w:val="EncabezadoCar"/>
    <w:uiPriority w:val="99"/>
    <w:unhideWhenUsed/>
    <w:rsid w:val="00510CD3"/>
    <w:pPr>
      <w:tabs>
        <w:tab w:val="center" w:pos="4419"/>
        <w:tab w:val="right" w:pos="8838"/>
      </w:tabs>
    </w:pPr>
  </w:style>
  <w:style w:type="character" w:customStyle="1" w:styleId="EncabezadoCar">
    <w:name w:val="Encabezado Car"/>
    <w:basedOn w:val="Fuentedeprrafopredeter"/>
    <w:link w:val="Encabezado"/>
    <w:uiPriority w:val="99"/>
    <w:rsid w:val="00510CD3"/>
  </w:style>
  <w:style w:type="paragraph" w:styleId="Piedepgina">
    <w:name w:val="footer"/>
    <w:basedOn w:val="Normal"/>
    <w:link w:val="PiedepginaCar"/>
    <w:uiPriority w:val="99"/>
    <w:unhideWhenUsed/>
    <w:rsid w:val="00510CD3"/>
    <w:pPr>
      <w:tabs>
        <w:tab w:val="center" w:pos="4419"/>
        <w:tab w:val="right" w:pos="8838"/>
      </w:tabs>
    </w:pPr>
  </w:style>
  <w:style w:type="character" w:customStyle="1" w:styleId="PiedepginaCar">
    <w:name w:val="Pie de página Car"/>
    <w:basedOn w:val="Fuentedeprrafopredeter"/>
    <w:link w:val="Piedepgina"/>
    <w:uiPriority w:val="99"/>
    <w:rsid w:val="00510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471308">
      <w:bodyDiv w:val="1"/>
      <w:marLeft w:val="0"/>
      <w:marRight w:val="0"/>
      <w:marTop w:val="0"/>
      <w:marBottom w:val="0"/>
      <w:divBdr>
        <w:top w:val="none" w:sz="0" w:space="0" w:color="auto"/>
        <w:left w:val="none" w:sz="0" w:space="0" w:color="auto"/>
        <w:bottom w:val="none" w:sz="0" w:space="0" w:color="auto"/>
        <w:right w:val="none" w:sz="0" w:space="0" w:color="auto"/>
      </w:divBdr>
    </w:div>
    <w:div w:id="1793359834">
      <w:bodyDiv w:val="1"/>
      <w:marLeft w:val="0"/>
      <w:marRight w:val="0"/>
      <w:marTop w:val="0"/>
      <w:marBottom w:val="0"/>
      <w:divBdr>
        <w:top w:val="none" w:sz="0" w:space="0" w:color="auto"/>
        <w:left w:val="none" w:sz="0" w:space="0" w:color="auto"/>
        <w:bottom w:val="none" w:sz="0" w:space="0" w:color="auto"/>
        <w:right w:val="none" w:sz="0" w:space="0" w:color="auto"/>
      </w:divBdr>
    </w:div>
    <w:div w:id="20002283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E3870AA-2919-4203-BA0A-5FE378A17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662</Words>
  <Characters>3641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Andrea Cabrera Villa</dc:creator>
  <cp:keywords/>
  <dc:description/>
  <cp:lastModifiedBy>Swapna Puni Estévez Singh</cp:lastModifiedBy>
  <cp:revision>12</cp:revision>
  <dcterms:created xsi:type="dcterms:W3CDTF">2018-01-22T14:25:00Z</dcterms:created>
  <dcterms:modified xsi:type="dcterms:W3CDTF">2018-04-03T16:15:00Z</dcterms:modified>
</cp:coreProperties>
</file>